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E5" w:rsidRPr="00DA3064" w:rsidRDefault="00936FE5" w:rsidP="0086588B">
      <w:pPr>
        <w:jc w:val="center"/>
        <w:rPr>
          <w:rFonts w:eastAsia="標楷體"/>
          <w:b/>
          <w:bCs/>
          <w:sz w:val="36"/>
          <w:szCs w:val="36"/>
        </w:rPr>
      </w:pPr>
      <w:bookmarkStart w:id="0" w:name="_GoBack"/>
      <w:bookmarkEnd w:id="0"/>
      <w:r w:rsidRPr="00DA3064">
        <w:rPr>
          <w:rFonts w:eastAsia="標楷體" w:hint="eastAsia"/>
          <w:b/>
          <w:bCs/>
          <w:sz w:val="36"/>
          <w:szCs w:val="36"/>
        </w:rPr>
        <w:t>高雄市教育芬芳錄推薦作業要點</w:t>
      </w:r>
      <w:r w:rsidR="00897DE6" w:rsidRPr="00DA3064">
        <w:rPr>
          <w:rFonts w:eastAsia="標楷體" w:hint="eastAsia"/>
          <w:b/>
          <w:bCs/>
          <w:sz w:val="36"/>
          <w:szCs w:val="36"/>
        </w:rPr>
        <w:t>修正規定</w:t>
      </w:r>
    </w:p>
    <w:p w:rsidR="00936FE5" w:rsidRPr="00DA3064" w:rsidRDefault="00936FE5" w:rsidP="00936FE5">
      <w:pPr>
        <w:snapToGrid w:val="0"/>
        <w:jc w:val="both"/>
        <w:rPr>
          <w:rFonts w:eastAsia="標楷體"/>
        </w:rPr>
      </w:pPr>
    </w:p>
    <w:p w:rsidR="00936FE5" w:rsidRDefault="00936FE5" w:rsidP="00BA71A5">
      <w:pPr>
        <w:snapToGrid w:val="0"/>
        <w:spacing w:line="500" w:lineRule="exact"/>
        <w:ind w:left="640" w:hangingChars="200" w:hanging="640"/>
        <w:rPr>
          <w:rFonts w:eastAsia="標楷體"/>
          <w:sz w:val="32"/>
        </w:rPr>
      </w:pPr>
      <w:r>
        <w:rPr>
          <w:rFonts w:eastAsia="標楷體" w:hint="eastAsia"/>
          <w:sz w:val="32"/>
        </w:rPr>
        <w:t>一、</w:t>
      </w:r>
      <w:r w:rsidR="00CA3048" w:rsidRPr="00CA3048">
        <w:rPr>
          <w:rFonts w:eastAsia="標楷體" w:hint="eastAsia"/>
          <w:sz w:val="32"/>
        </w:rPr>
        <w:t>高雄市政府教育局（以下簡稱本局）為表彰本市教育工作人員、家長及社會人士（團體）熱心教育之優良事蹟，發揚教育專業精神，鼓勵社會參與，促使教育之健全發展，特編印「教育芬芳錄」。</w:t>
      </w:r>
    </w:p>
    <w:p w:rsidR="00936FE5" w:rsidRDefault="00936FE5" w:rsidP="00BA71A5">
      <w:pPr>
        <w:snapToGrid w:val="0"/>
        <w:spacing w:line="500" w:lineRule="exact"/>
        <w:ind w:left="640" w:hangingChars="200" w:hanging="640"/>
        <w:rPr>
          <w:rFonts w:eastAsia="標楷體"/>
          <w:sz w:val="32"/>
        </w:rPr>
      </w:pPr>
      <w:r>
        <w:rPr>
          <w:rFonts w:eastAsia="標楷體" w:hint="eastAsia"/>
          <w:sz w:val="32"/>
        </w:rPr>
        <w:t>二、</w:t>
      </w:r>
      <w:r w:rsidR="00CA3048" w:rsidRPr="00CA3048">
        <w:rPr>
          <w:rFonts w:eastAsia="標楷體" w:hint="eastAsia"/>
          <w:sz w:val="32"/>
        </w:rPr>
        <w:t>三年內未曾獲選表揚者，且具有下列具體事蹟之一，得為被推薦對象：</w:t>
      </w:r>
    </w:p>
    <w:p w:rsidR="001F1182" w:rsidRDefault="00936FE5" w:rsidP="00BA71A5">
      <w:pPr>
        <w:snapToGrid w:val="0"/>
        <w:spacing w:line="500" w:lineRule="exact"/>
        <w:ind w:leftChars="100" w:left="240"/>
        <w:rPr>
          <w:rFonts w:eastAsia="標楷體"/>
          <w:sz w:val="32"/>
        </w:rPr>
      </w:pPr>
      <w:r>
        <w:rPr>
          <w:rFonts w:eastAsia="標楷體" w:hint="eastAsia"/>
          <w:sz w:val="32"/>
        </w:rPr>
        <w:t>（一）</w:t>
      </w:r>
      <w:r w:rsidR="001F1182" w:rsidRPr="001F1182">
        <w:rPr>
          <w:rFonts w:eastAsia="標楷體" w:hint="eastAsia"/>
          <w:sz w:val="32"/>
        </w:rPr>
        <w:t>發揮愛心、耐心，犧牲奉獻，富有感人教育事蹟者。</w:t>
      </w:r>
      <w:r>
        <w:rPr>
          <w:rFonts w:eastAsia="標楷體" w:hint="eastAsia"/>
          <w:sz w:val="32"/>
        </w:rPr>
        <w:t>（二）</w:t>
      </w:r>
      <w:r w:rsidR="001F1182" w:rsidRPr="001F1182">
        <w:rPr>
          <w:rFonts w:eastAsia="標楷體" w:hint="eastAsia"/>
          <w:sz w:val="32"/>
        </w:rPr>
        <w:t>盡心盡力為教育服務，並具有犧牲奉獻或端正教育風氣</w:t>
      </w:r>
    </w:p>
    <w:p w:rsidR="00936FE5" w:rsidRDefault="001F1182" w:rsidP="00BA71A5">
      <w:pPr>
        <w:snapToGrid w:val="0"/>
        <w:spacing w:line="500" w:lineRule="exact"/>
        <w:ind w:leftChars="100" w:left="240" w:firstLineChars="300" w:firstLine="960"/>
        <w:rPr>
          <w:rFonts w:eastAsia="標楷體"/>
          <w:sz w:val="32"/>
        </w:rPr>
      </w:pPr>
      <w:r w:rsidRPr="001F1182">
        <w:rPr>
          <w:rFonts w:eastAsia="標楷體" w:hint="eastAsia"/>
          <w:sz w:val="32"/>
        </w:rPr>
        <w:t>之特殊事蹟。</w:t>
      </w:r>
    </w:p>
    <w:p w:rsidR="00936FE5" w:rsidRDefault="00936FE5" w:rsidP="00BA71A5">
      <w:pPr>
        <w:snapToGrid w:val="0"/>
        <w:spacing w:line="500" w:lineRule="exact"/>
        <w:ind w:firstLineChars="100" w:firstLine="320"/>
        <w:rPr>
          <w:rFonts w:eastAsia="標楷體"/>
          <w:sz w:val="32"/>
        </w:rPr>
      </w:pPr>
      <w:r>
        <w:rPr>
          <w:rFonts w:eastAsia="標楷體" w:hint="eastAsia"/>
          <w:sz w:val="32"/>
        </w:rPr>
        <w:t>（三）</w:t>
      </w:r>
      <w:r w:rsidR="001F1182" w:rsidRPr="001F1182">
        <w:rPr>
          <w:rFonts w:eastAsia="標楷體" w:hint="eastAsia"/>
          <w:sz w:val="32"/>
        </w:rPr>
        <w:t>革新教學方法或教材，落實教學歷程確有成效者。</w:t>
      </w:r>
    </w:p>
    <w:p w:rsidR="00936FE5" w:rsidRDefault="00936FE5" w:rsidP="00BA71A5">
      <w:pPr>
        <w:snapToGrid w:val="0"/>
        <w:spacing w:line="500" w:lineRule="exact"/>
        <w:ind w:firstLineChars="100" w:firstLine="320"/>
        <w:rPr>
          <w:rFonts w:eastAsia="標楷體"/>
          <w:sz w:val="32"/>
        </w:rPr>
      </w:pPr>
      <w:r>
        <w:rPr>
          <w:rFonts w:eastAsia="標楷體" w:hint="eastAsia"/>
          <w:sz w:val="32"/>
        </w:rPr>
        <w:t>（四）</w:t>
      </w:r>
      <w:r w:rsidR="001F1182" w:rsidRPr="001F1182">
        <w:rPr>
          <w:rFonts w:eastAsia="標楷體" w:hint="eastAsia"/>
          <w:sz w:val="32"/>
        </w:rPr>
        <w:t>創造發明對教育具有貢獻者。</w:t>
      </w:r>
    </w:p>
    <w:p w:rsidR="001F1182" w:rsidRDefault="00936FE5" w:rsidP="00BA71A5">
      <w:pPr>
        <w:snapToGrid w:val="0"/>
        <w:spacing w:line="500" w:lineRule="exact"/>
        <w:ind w:firstLineChars="100" w:firstLine="320"/>
        <w:rPr>
          <w:rFonts w:eastAsia="標楷體"/>
          <w:sz w:val="32"/>
        </w:rPr>
      </w:pPr>
      <w:r>
        <w:rPr>
          <w:rFonts w:eastAsia="標楷體" w:hint="eastAsia"/>
          <w:sz w:val="32"/>
        </w:rPr>
        <w:t>（五）</w:t>
      </w:r>
      <w:r w:rsidR="001F1182" w:rsidRPr="001F1182">
        <w:rPr>
          <w:rFonts w:eastAsia="標楷體" w:hint="eastAsia"/>
          <w:sz w:val="32"/>
        </w:rPr>
        <w:t>推行重要改進計畫或實驗方案，對教育確有重大貢獻</w:t>
      </w:r>
    </w:p>
    <w:p w:rsidR="00936FE5" w:rsidRDefault="001F1182" w:rsidP="00BA71A5">
      <w:pPr>
        <w:snapToGrid w:val="0"/>
        <w:spacing w:line="500" w:lineRule="exact"/>
        <w:ind w:firstLineChars="400" w:firstLine="1280"/>
        <w:rPr>
          <w:rFonts w:eastAsia="標楷體"/>
          <w:sz w:val="32"/>
        </w:rPr>
      </w:pPr>
      <w:r w:rsidRPr="001F1182">
        <w:rPr>
          <w:rFonts w:eastAsia="標楷體" w:hint="eastAsia"/>
          <w:sz w:val="32"/>
        </w:rPr>
        <w:t>者。</w:t>
      </w:r>
    </w:p>
    <w:p w:rsidR="001F1182" w:rsidRDefault="001F1182" w:rsidP="00BA71A5">
      <w:pPr>
        <w:snapToGrid w:val="0"/>
        <w:spacing w:line="500" w:lineRule="exact"/>
        <w:ind w:firstLineChars="100" w:firstLine="320"/>
        <w:rPr>
          <w:rFonts w:eastAsia="標楷體"/>
          <w:sz w:val="32"/>
          <w:lang w:eastAsia="zh-HK"/>
        </w:rPr>
      </w:pPr>
      <w:r w:rsidRPr="001F1182">
        <w:rPr>
          <w:rFonts w:eastAsia="標楷體" w:hint="eastAsia"/>
          <w:sz w:val="32"/>
          <w:lang w:eastAsia="zh-HK"/>
        </w:rPr>
        <w:t>（</w:t>
      </w:r>
      <w:r>
        <w:rPr>
          <w:rFonts w:eastAsia="標楷體" w:hint="eastAsia"/>
          <w:sz w:val="32"/>
          <w:lang w:eastAsia="zh-HK"/>
        </w:rPr>
        <w:t>六</w:t>
      </w:r>
      <w:r w:rsidRPr="001F1182">
        <w:rPr>
          <w:rFonts w:eastAsia="標楷體" w:hint="eastAsia"/>
          <w:sz w:val="32"/>
          <w:lang w:eastAsia="zh-HK"/>
        </w:rPr>
        <w:t>）認真指導或訓練學生參加臺灣區、全國性或國際性比</w:t>
      </w:r>
    </w:p>
    <w:p w:rsidR="001F1182" w:rsidRDefault="001F1182" w:rsidP="00BA71A5">
      <w:pPr>
        <w:snapToGrid w:val="0"/>
        <w:spacing w:line="500" w:lineRule="exact"/>
        <w:ind w:firstLineChars="400" w:firstLine="1280"/>
        <w:rPr>
          <w:rFonts w:eastAsia="標楷體"/>
          <w:sz w:val="32"/>
          <w:lang w:eastAsia="zh-HK"/>
        </w:rPr>
      </w:pPr>
      <w:r w:rsidRPr="001F1182">
        <w:rPr>
          <w:rFonts w:eastAsia="標楷體" w:hint="eastAsia"/>
          <w:sz w:val="32"/>
          <w:lang w:eastAsia="zh-HK"/>
        </w:rPr>
        <w:t>賽，屢獲佳績。</w:t>
      </w:r>
    </w:p>
    <w:p w:rsidR="001F1182" w:rsidRDefault="001F1182" w:rsidP="00BA71A5">
      <w:pPr>
        <w:snapToGrid w:val="0"/>
        <w:spacing w:line="500" w:lineRule="exact"/>
        <w:ind w:firstLineChars="100" w:firstLine="320"/>
        <w:rPr>
          <w:rFonts w:eastAsia="標楷體"/>
          <w:sz w:val="32"/>
        </w:rPr>
      </w:pPr>
      <w:r>
        <w:rPr>
          <w:rFonts w:eastAsia="標楷體" w:hint="eastAsia"/>
          <w:sz w:val="32"/>
          <w:lang w:eastAsia="zh-HK"/>
        </w:rPr>
        <w:t>（七</w:t>
      </w:r>
      <w:r w:rsidRPr="001F1182">
        <w:rPr>
          <w:rFonts w:eastAsia="標楷體" w:hint="eastAsia"/>
          <w:sz w:val="32"/>
          <w:lang w:eastAsia="zh-HK"/>
        </w:rPr>
        <w:t>）其他具有優異表現足為杏壇表率之事蹟者。</w:t>
      </w:r>
    </w:p>
    <w:p w:rsidR="00936FE5" w:rsidRDefault="00936FE5" w:rsidP="00BA71A5">
      <w:pPr>
        <w:snapToGrid w:val="0"/>
        <w:spacing w:line="500" w:lineRule="exact"/>
        <w:rPr>
          <w:rFonts w:eastAsia="標楷體"/>
          <w:sz w:val="32"/>
        </w:rPr>
      </w:pPr>
      <w:r>
        <w:rPr>
          <w:rFonts w:eastAsia="標楷體" w:hint="eastAsia"/>
          <w:sz w:val="32"/>
        </w:rPr>
        <w:t>三、</w:t>
      </w:r>
      <w:r w:rsidR="001F402B" w:rsidRPr="001F402B">
        <w:rPr>
          <w:rFonts w:eastAsia="標楷體" w:hint="eastAsia"/>
          <w:sz w:val="32"/>
        </w:rPr>
        <w:t>推薦方式規定如下：</w:t>
      </w:r>
    </w:p>
    <w:p w:rsidR="00936FE5" w:rsidRDefault="00936FE5" w:rsidP="00BA71A5">
      <w:pPr>
        <w:snapToGrid w:val="0"/>
        <w:spacing w:line="500" w:lineRule="exact"/>
        <w:ind w:firstLineChars="100" w:firstLine="320"/>
        <w:rPr>
          <w:rFonts w:eastAsia="標楷體"/>
          <w:sz w:val="32"/>
        </w:rPr>
      </w:pPr>
      <w:r>
        <w:rPr>
          <w:rFonts w:eastAsia="標楷體" w:hint="eastAsia"/>
          <w:sz w:val="32"/>
        </w:rPr>
        <w:t>（一）經學校推薦者。</w:t>
      </w:r>
    </w:p>
    <w:p w:rsidR="009E6669" w:rsidRDefault="00936FE5" w:rsidP="00BA71A5">
      <w:pPr>
        <w:snapToGrid w:val="0"/>
        <w:spacing w:line="500" w:lineRule="exact"/>
        <w:ind w:firstLineChars="100" w:firstLine="320"/>
        <w:rPr>
          <w:rFonts w:eastAsia="標楷體"/>
          <w:sz w:val="32"/>
        </w:rPr>
      </w:pPr>
      <w:r>
        <w:rPr>
          <w:rFonts w:eastAsia="標楷體" w:hint="eastAsia"/>
          <w:sz w:val="32"/>
        </w:rPr>
        <w:t>（二）經本局督學及科室主管以上人員推薦者。</w:t>
      </w:r>
    </w:p>
    <w:p w:rsidR="009E6669" w:rsidRDefault="00936FE5" w:rsidP="00BA71A5">
      <w:pPr>
        <w:snapToGrid w:val="0"/>
        <w:spacing w:line="500" w:lineRule="exact"/>
        <w:ind w:firstLineChars="100" w:firstLine="320"/>
        <w:rPr>
          <w:rFonts w:eastAsia="標楷體"/>
          <w:sz w:val="32"/>
        </w:rPr>
      </w:pPr>
      <w:r>
        <w:rPr>
          <w:rFonts w:eastAsia="標楷體" w:hint="eastAsia"/>
          <w:sz w:val="32"/>
        </w:rPr>
        <w:t>（三）經社會公正人士提供具體事蹟者或由大眾傳播媒體報導</w:t>
      </w:r>
    </w:p>
    <w:p w:rsidR="00936FE5" w:rsidRDefault="00936FE5" w:rsidP="00BA71A5">
      <w:pPr>
        <w:snapToGrid w:val="0"/>
        <w:spacing w:line="500" w:lineRule="exact"/>
        <w:ind w:firstLineChars="400" w:firstLine="1280"/>
        <w:rPr>
          <w:rFonts w:eastAsia="標楷體"/>
          <w:sz w:val="32"/>
        </w:rPr>
      </w:pPr>
      <w:r>
        <w:rPr>
          <w:rFonts w:eastAsia="標楷體" w:hint="eastAsia"/>
          <w:sz w:val="32"/>
        </w:rPr>
        <w:t>經查確有具體事蹟者，由本局推薦之。</w:t>
      </w:r>
    </w:p>
    <w:p w:rsidR="00936FE5" w:rsidRDefault="00936FE5" w:rsidP="00BA71A5">
      <w:pPr>
        <w:snapToGrid w:val="0"/>
        <w:spacing w:line="500" w:lineRule="exact"/>
        <w:rPr>
          <w:rFonts w:eastAsia="標楷體"/>
          <w:sz w:val="32"/>
        </w:rPr>
      </w:pPr>
      <w:r>
        <w:rPr>
          <w:rFonts w:eastAsia="標楷體" w:hint="eastAsia"/>
          <w:sz w:val="32"/>
        </w:rPr>
        <w:t>四、</w:t>
      </w:r>
      <w:r w:rsidR="008E5FDC" w:rsidRPr="008E5FDC">
        <w:rPr>
          <w:rFonts w:eastAsia="標楷體" w:hint="eastAsia"/>
          <w:sz w:val="32"/>
        </w:rPr>
        <w:t>推薦時間為每年三月底前。</w:t>
      </w:r>
    </w:p>
    <w:p w:rsidR="00936FE5" w:rsidRDefault="00936FE5" w:rsidP="00BA71A5">
      <w:pPr>
        <w:snapToGrid w:val="0"/>
        <w:spacing w:line="500" w:lineRule="exact"/>
        <w:rPr>
          <w:rFonts w:eastAsia="標楷體"/>
          <w:sz w:val="32"/>
        </w:rPr>
      </w:pPr>
      <w:r>
        <w:rPr>
          <w:rFonts w:eastAsia="標楷體" w:hint="eastAsia"/>
          <w:sz w:val="32"/>
        </w:rPr>
        <w:t>五、</w:t>
      </w:r>
      <w:r w:rsidR="00BA5A47" w:rsidRPr="00BA5A47">
        <w:rPr>
          <w:rFonts w:eastAsia="標楷體" w:hint="eastAsia"/>
          <w:sz w:val="32"/>
        </w:rPr>
        <w:t>學校推薦者，應經校務會議、教師考核會或考核委員會通過</w:t>
      </w:r>
    </w:p>
    <w:p w:rsidR="000F1165" w:rsidRPr="000F1165" w:rsidRDefault="000F1165" w:rsidP="00BA71A5">
      <w:pPr>
        <w:snapToGrid w:val="0"/>
        <w:spacing w:line="500" w:lineRule="exact"/>
        <w:rPr>
          <w:rFonts w:eastAsia="標楷體"/>
          <w:sz w:val="32"/>
        </w:rPr>
      </w:pPr>
      <w:r>
        <w:rPr>
          <w:rFonts w:eastAsia="標楷體"/>
          <w:sz w:val="32"/>
        </w:rPr>
        <w:t xml:space="preserve">    </w:t>
      </w:r>
      <w:r>
        <w:rPr>
          <w:rFonts w:ascii="標楷體" w:eastAsia="標楷體" w:hAnsi="標楷體" w:hint="eastAsia"/>
          <w:sz w:val="32"/>
        </w:rPr>
        <w:t>。</w:t>
      </w:r>
    </w:p>
    <w:p w:rsidR="00C02133" w:rsidRDefault="00936FE5" w:rsidP="00BA71A5">
      <w:pPr>
        <w:snapToGrid w:val="0"/>
        <w:spacing w:line="500" w:lineRule="exact"/>
        <w:rPr>
          <w:rFonts w:eastAsia="標楷體"/>
          <w:sz w:val="32"/>
        </w:rPr>
      </w:pPr>
      <w:r>
        <w:rPr>
          <w:rFonts w:eastAsia="標楷體" w:hint="eastAsia"/>
          <w:sz w:val="32"/>
        </w:rPr>
        <w:t>六、</w:t>
      </w:r>
      <w:r w:rsidR="00C02133" w:rsidRPr="00C02133">
        <w:rPr>
          <w:rFonts w:eastAsia="標楷體" w:hint="eastAsia"/>
          <w:sz w:val="32"/>
        </w:rPr>
        <w:t>推薦時應填具推薦表，將被推薦人姓名、現職及具體優良事</w:t>
      </w:r>
    </w:p>
    <w:p w:rsidR="00936FE5" w:rsidRDefault="00C02133" w:rsidP="00BA71A5">
      <w:pPr>
        <w:snapToGrid w:val="0"/>
        <w:spacing w:line="500" w:lineRule="exact"/>
        <w:ind w:firstLineChars="200" w:firstLine="640"/>
        <w:rPr>
          <w:rFonts w:eastAsia="標楷體"/>
          <w:sz w:val="32"/>
        </w:rPr>
      </w:pPr>
      <w:r w:rsidRPr="00C02133">
        <w:rPr>
          <w:rFonts w:eastAsia="標楷體" w:hint="eastAsia"/>
          <w:sz w:val="32"/>
        </w:rPr>
        <w:lastRenderedPageBreak/>
        <w:t>蹟詳細說明。</w:t>
      </w:r>
    </w:p>
    <w:p w:rsidR="00326DCF" w:rsidRDefault="00936FE5" w:rsidP="00BA71A5">
      <w:pPr>
        <w:snapToGrid w:val="0"/>
        <w:spacing w:line="500" w:lineRule="exact"/>
        <w:rPr>
          <w:rFonts w:eastAsia="標楷體"/>
          <w:sz w:val="32"/>
        </w:rPr>
      </w:pPr>
      <w:r>
        <w:rPr>
          <w:rFonts w:eastAsia="標楷體" w:hint="eastAsia"/>
          <w:sz w:val="32"/>
        </w:rPr>
        <w:t>七、</w:t>
      </w:r>
      <w:r w:rsidR="009E6669" w:rsidRPr="009E6669">
        <w:rPr>
          <w:rFonts w:eastAsia="標楷體" w:hint="eastAsia"/>
          <w:sz w:val="32"/>
        </w:rPr>
        <w:t>審查方式分為二階段，規定如下：</w:t>
      </w:r>
    </w:p>
    <w:p w:rsidR="00326DCF" w:rsidRPr="00E0286F" w:rsidRDefault="00E0286F" w:rsidP="00E0286F">
      <w:pPr>
        <w:snapToGrid w:val="0"/>
        <w:spacing w:line="500" w:lineRule="exact"/>
        <w:ind w:leftChars="100" w:left="880" w:hangingChars="200" w:hanging="640"/>
        <w:rPr>
          <w:rFonts w:ascii="標楷體" w:eastAsia="標楷體" w:hAnsi="標楷體"/>
          <w:sz w:val="32"/>
          <w:szCs w:val="32"/>
        </w:rPr>
      </w:pPr>
      <w:r w:rsidRPr="00E0286F">
        <w:rPr>
          <w:rFonts w:ascii="標楷體" w:eastAsia="標楷體" w:hAnsi="標楷體" w:hint="eastAsia"/>
          <w:sz w:val="32"/>
          <w:szCs w:val="32"/>
        </w:rPr>
        <w:t>(一)</w:t>
      </w:r>
      <w:r w:rsidR="009E6669" w:rsidRPr="009E6669">
        <w:rPr>
          <w:rFonts w:eastAsia="標楷體" w:hint="eastAsia"/>
          <w:sz w:val="32"/>
        </w:rPr>
        <w:t>第一階段：由本局主任秘書、科室主管及督學負責書面審</w:t>
      </w:r>
      <w:r w:rsidR="009E6669" w:rsidRPr="00E0286F">
        <w:rPr>
          <w:rFonts w:ascii="標楷體" w:eastAsia="標楷體" w:hAnsi="標楷體" w:hint="eastAsia"/>
          <w:sz w:val="32"/>
          <w:szCs w:val="32"/>
        </w:rPr>
        <w:t>查。選出至多八十五篇送第二階段複審。</w:t>
      </w:r>
    </w:p>
    <w:p w:rsidR="00936FE5" w:rsidRPr="003F0FED" w:rsidRDefault="00E0286F" w:rsidP="00E0286F">
      <w:pPr>
        <w:snapToGrid w:val="0"/>
        <w:spacing w:line="500" w:lineRule="exact"/>
        <w:ind w:leftChars="100" w:left="880" w:hangingChars="200" w:hanging="640"/>
        <w:rPr>
          <w:rFonts w:ascii="標楷體" w:eastAsia="標楷體" w:hAnsi="標楷體"/>
          <w:sz w:val="32"/>
          <w:szCs w:val="32"/>
        </w:rPr>
      </w:pPr>
      <w:r>
        <w:rPr>
          <w:rFonts w:ascii="標楷體" w:eastAsia="標楷體" w:hAnsi="標楷體" w:hint="eastAsia"/>
          <w:sz w:val="32"/>
          <w:szCs w:val="32"/>
        </w:rPr>
        <w:t>(二)</w:t>
      </w:r>
      <w:r w:rsidR="0036518A" w:rsidRPr="0036518A">
        <w:rPr>
          <w:rFonts w:ascii="標楷體" w:eastAsia="標楷體" w:hAnsi="標楷體" w:hint="eastAsia"/>
          <w:sz w:val="32"/>
          <w:szCs w:val="32"/>
        </w:rPr>
        <w:t>第二階段：成立教育芬芳錄審查會，由本局主任秘書以上人員（不參與評比）擔任召集人，其餘委員由本市教師團體、校長協會、立案之家長團體代表等擔任審查委員並組成若干小組負責審查及訪視，其中每小組之審查委員至多五人。</w:t>
      </w:r>
    </w:p>
    <w:p w:rsidR="00936FE5" w:rsidRDefault="00936FE5" w:rsidP="00BA71A5">
      <w:pPr>
        <w:snapToGrid w:val="0"/>
        <w:spacing w:line="500" w:lineRule="exact"/>
        <w:ind w:left="640" w:hangingChars="200" w:hanging="640"/>
        <w:rPr>
          <w:rFonts w:eastAsia="標楷體"/>
          <w:sz w:val="32"/>
        </w:rPr>
      </w:pPr>
      <w:r>
        <w:rPr>
          <w:rFonts w:eastAsia="標楷體" w:hint="eastAsia"/>
          <w:sz w:val="32"/>
        </w:rPr>
        <w:t>八、</w:t>
      </w:r>
      <w:r w:rsidR="00BA71A5" w:rsidRPr="00BA71A5">
        <w:rPr>
          <w:rFonts w:eastAsia="標楷體" w:hint="eastAsia"/>
          <w:sz w:val="32"/>
        </w:rPr>
        <w:t>每年選錄篇數至多六十三篇（教育工作者類四十篇，家長及社會人士類二十篇，團體組類三篇，各類間之篇數得調整運用），被推薦人於同一年度內獲師鐸奬或特殊優良教師表揚者，本局得視情形額外增加選錄篇數。經審定採用者，本局得請專人潤稿後出版專輯及數位刊登，於教師節公開表揚，致贈教育芬芳錄獎牌一座，教育工作者並核予嘉奬二次。</w:t>
      </w:r>
    </w:p>
    <w:p w:rsidR="00B37AFE" w:rsidRDefault="00936FE5" w:rsidP="00B37AFE">
      <w:pPr>
        <w:snapToGrid w:val="0"/>
        <w:spacing w:line="500" w:lineRule="exact"/>
        <w:ind w:left="640" w:hangingChars="200" w:hanging="640"/>
        <w:rPr>
          <w:rFonts w:eastAsia="標楷體"/>
          <w:sz w:val="32"/>
        </w:rPr>
      </w:pPr>
      <w:r>
        <w:rPr>
          <w:rFonts w:eastAsia="標楷體" w:hint="eastAsia"/>
          <w:sz w:val="32"/>
        </w:rPr>
        <w:t>九、</w:t>
      </w:r>
      <w:r w:rsidR="00BA71A5" w:rsidRPr="00BA71A5">
        <w:rPr>
          <w:rFonts w:eastAsia="標楷體" w:hint="eastAsia"/>
          <w:sz w:val="32"/>
        </w:rPr>
        <w:t>為配合教育部國民及學前教育署辦理杏壇芬芳獎評選暨表揚實施計畫之推薦，本局得依該計畫所定資格條件及篇數，按第七點第二款所定各小組審查之成績順序擇優評選後，分別推薦參加個人組及團體組之評選。</w:t>
      </w:r>
    </w:p>
    <w:p w:rsidR="00B37AFE" w:rsidRDefault="00B37AFE" w:rsidP="00B37AFE">
      <w:pPr>
        <w:snapToGrid w:val="0"/>
        <w:spacing w:line="500" w:lineRule="exact"/>
        <w:ind w:firstLineChars="200" w:firstLine="640"/>
        <w:rPr>
          <w:rFonts w:ascii="標楷體" w:eastAsia="標楷體" w:hAnsi="標楷體"/>
          <w:sz w:val="32"/>
          <w:szCs w:val="32"/>
        </w:rPr>
      </w:pPr>
      <w:r w:rsidRPr="00B37AFE">
        <w:rPr>
          <w:rFonts w:ascii="標楷體" w:eastAsia="標楷體" w:hAnsi="標楷體" w:hint="eastAsia"/>
          <w:sz w:val="32"/>
          <w:szCs w:val="32"/>
        </w:rPr>
        <w:t>本局為辦理前項評選，必要時得組評選小組，由本局副局長</w:t>
      </w:r>
    </w:p>
    <w:p w:rsidR="001F776A" w:rsidRPr="00B37AFE" w:rsidRDefault="00B37AFE" w:rsidP="00B37AFE">
      <w:pPr>
        <w:snapToGrid w:val="0"/>
        <w:spacing w:line="500" w:lineRule="exact"/>
        <w:ind w:firstLineChars="200" w:firstLine="640"/>
        <w:rPr>
          <w:rFonts w:ascii="標楷體" w:eastAsia="標楷體" w:hAnsi="標楷體"/>
          <w:sz w:val="32"/>
          <w:szCs w:val="32"/>
        </w:rPr>
      </w:pPr>
      <w:r w:rsidRPr="00B37AFE">
        <w:rPr>
          <w:rFonts w:ascii="標楷體" w:eastAsia="標楷體" w:hAnsi="標楷體" w:hint="eastAsia"/>
          <w:sz w:val="32"/>
          <w:szCs w:val="32"/>
        </w:rPr>
        <w:t>擔任召集人，其餘委員由各科室主管擔任，負責評選作業。</w:t>
      </w:r>
    </w:p>
    <w:sectPr w:rsidR="001F776A" w:rsidRPr="00B37AFE" w:rsidSect="007309CA">
      <w:footerReference w:type="even" r:id="rId6"/>
      <w:footerReference w:type="default" r:id="rId7"/>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9B" w:rsidRDefault="0089699B">
      <w:pPr>
        <w:spacing w:line="240" w:lineRule="auto"/>
      </w:pPr>
      <w:r>
        <w:separator/>
      </w:r>
    </w:p>
  </w:endnote>
  <w:endnote w:type="continuationSeparator" w:id="0">
    <w:p w:rsidR="0089699B" w:rsidRDefault="00896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C1" w:rsidRDefault="00B37AFE" w:rsidP="0061039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E73C1" w:rsidRDefault="00A010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C1" w:rsidRDefault="00B37AFE" w:rsidP="0061039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010A0">
      <w:rPr>
        <w:rStyle w:val="a7"/>
        <w:noProof/>
      </w:rPr>
      <w:t>2</w:t>
    </w:r>
    <w:r>
      <w:rPr>
        <w:rStyle w:val="a7"/>
      </w:rPr>
      <w:fldChar w:fldCharType="end"/>
    </w:r>
  </w:p>
  <w:p w:rsidR="009E73C1" w:rsidRDefault="00A010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9B" w:rsidRDefault="0089699B">
      <w:pPr>
        <w:spacing w:line="240" w:lineRule="auto"/>
      </w:pPr>
      <w:r>
        <w:separator/>
      </w:r>
    </w:p>
  </w:footnote>
  <w:footnote w:type="continuationSeparator" w:id="0">
    <w:p w:rsidR="0089699B" w:rsidRDefault="008969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E5"/>
    <w:rsid w:val="000C6EC7"/>
    <w:rsid w:val="000F1165"/>
    <w:rsid w:val="001347AD"/>
    <w:rsid w:val="001F1182"/>
    <w:rsid w:val="001F402B"/>
    <w:rsid w:val="001F776A"/>
    <w:rsid w:val="002C471A"/>
    <w:rsid w:val="00326DCF"/>
    <w:rsid w:val="00351D35"/>
    <w:rsid w:val="0036518A"/>
    <w:rsid w:val="007309CA"/>
    <w:rsid w:val="007710CC"/>
    <w:rsid w:val="0086588B"/>
    <w:rsid w:val="0089699B"/>
    <w:rsid w:val="00897DE6"/>
    <w:rsid w:val="008E5FDC"/>
    <w:rsid w:val="008E7715"/>
    <w:rsid w:val="00936FE5"/>
    <w:rsid w:val="009E6669"/>
    <w:rsid w:val="00A010A0"/>
    <w:rsid w:val="00B37AFE"/>
    <w:rsid w:val="00BA5A47"/>
    <w:rsid w:val="00BA71A5"/>
    <w:rsid w:val="00C02133"/>
    <w:rsid w:val="00CA3048"/>
    <w:rsid w:val="00DA3064"/>
    <w:rsid w:val="00E0286F"/>
    <w:rsid w:val="00E27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5047492-E41E-4782-9C63-6593B260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FE5"/>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36FE5"/>
    <w:pPr>
      <w:spacing w:after="120"/>
      <w:ind w:leftChars="200" w:left="480"/>
    </w:pPr>
  </w:style>
  <w:style w:type="character" w:customStyle="1" w:styleId="a4">
    <w:name w:val="本文縮排 字元"/>
    <w:basedOn w:val="a0"/>
    <w:link w:val="a3"/>
    <w:rsid w:val="00936FE5"/>
    <w:rPr>
      <w:rFonts w:ascii="Times New Roman" w:eastAsia="新細明體" w:hAnsi="Times New Roman" w:cs="Times New Roman"/>
      <w:kern w:val="0"/>
      <w:szCs w:val="20"/>
    </w:rPr>
  </w:style>
  <w:style w:type="paragraph" w:styleId="a5">
    <w:name w:val="footer"/>
    <w:basedOn w:val="a"/>
    <w:link w:val="a6"/>
    <w:rsid w:val="00936FE5"/>
    <w:pPr>
      <w:tabs>
        <w:tab w:val="center" w:pos="4153"/>
        <w:tab w:val="right" w:pos="8306"/>
      </w:tabs>
      <w:snapToGrid w:val="0"/>
    </w:pPr>
    <w:rPr>
      <w:sz w:val="20"/>
    </w:rPr>
  </w:style>
  <w:style w:type="character" w:customStyle="1" w:styleId="a6">
    <w:name w:val="頁尾 字元"/>
    <w:basedOn w:val="a0"/>
    <w:link w:val="a5"/>
    <w:rsid w:val="00936FE5"/>
    <w:rPr>
      <w:rFonts w:ascii="Times New Roman" w:eastAsia="新細明體" w:hAnsi="Times New Roman" w:cs="Times New Roman"/>
      <w:kern w:val="0"/>
      <w:sz w:val="20"/>
      <w:szCs w:val="20"/>
    </w:rPr>
  </w:style>
  <w:style w:type="character" w:styleId="a7">
    <w:name w:val="page number"/>
    <w:basedOn w:val="a0"/>
    <w:rsid w:val="00936FE5"/>
  </w:style>
  <w:style w:type="paragraph" w:styleId="a8">
    <w:name w:val="Balloon Text"/>
    <w:basedOn w:val="a"/>
    <w:link w:val="a9"/>
    <w:uiPriority w:val="99"/>
    <w:semiHidden/>
    <w:unhideWhenUsed/>
    <w:rsid w:val="00B37AFE"/>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37AFE"/>
    <w:rPr>
      <w:rFonts w:asciiTheme="majorHAnsi" w:eastAsiaTheme="majorEastAsia" w:hAnsiTheme="majorHAnsi" w:cstheme="majorBidi"/>
      <w:kern w:val="0"/>
      <w:sz w:val="18"/>
      <w:szCs w:val="18"/>
    </w:rPr>
  </w:style>
  <w:style w:type="paragraph" w:styleId="aa">
    <w:name w:val="header"/>
    <w:basedOn w:val="a"/>
    <w:link w:val="ab"/>
    <w:uiPriority w:val="99"/>
    <w:unhideWhenUsed/>
    <w:rsid w:val="008E7715"/>
    <w:pPr>
      <w:tabs>
        <w:tab w:val="center" w:pos="4153"/>
        <w:tab w:val="right" w:pos="8306"/>
      </w:tabs>
      <w:snapToGrid w:val="0"/>
    </w:pPr>
    <w:rPr>
      <w:sz w:val="20"/>
    </w:rPr>
  </w:style>
  <w:style w:type="character" w:customStyle="1" w:styleId="ab">
    <w:name w:val="頁首 字元"/>
    <w:basedOn w:val="a0"/>
    <w:link w:val="aa"/>
    <w:uiPriority w:val="99"/>
    <w:rsid w:val="008E7715"/>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pc01</cp:lastModifiedBy>
  <cp:revision>2</cp:revision>
  <cp:lastPrinted>2020-11-17T08:51:00Z</cp:lastPrinted>
  <dcterms:created xsi:type="dcterms:W3CDTF">2020-11-20T02:41:00Z</dcterms:created>
  <dcterms:modified xsi:type="dcterms:W3CDTF">2020-11-20T02:41:00Z</dcterms:modified>
</cp:coreProperties>
</file>