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3B" w:rsidRPr="007A4478" w:rsidRDefault="004C1659" w:rsidP="009B0F14">
      <w:pPr>
        <w:spacing w:line="520" w:lineRule="exact"/>
        <w:jc w:val="center"/>
        <w:rPr>
          <w:rFonts w:ascii="標楷體" w:eastAsia="標楷體" w:hAnsi="標楷體"/>
          <w:sz w:val="40"/>
          <w:szCs w:val="40"/>
        </w:rPr>
      </w:pPr>
      <w:bookmarkStart w:id="0" w:name="_GoBack"/>
      <w:bookmarkEnd w:id="0"/>
      <w:r w:rsidRPr="007A4478">
        <w:rPr>
          <w:rFonts w:ascii="標楷體" w:eastAsia="標楷體" w:hAnsi="標楷體" w:hint="eastAsia"/>
          <w:sz w:val="40"/>
          <w:szCs w:val="40"/>
        </w:rPr>
        <w:t>行政院及所屬各機關推動業務委託民間辦理實施要點第</w:t>
      </w:r>
      <w:r w:rsidR="002E0092" w:rsidRPr="007A4478">
        <w:rPr>
          <w:rFonts w:ascii="標楷體" w:eastAsia="標楷體" w:hAnsi="標楷體" w:hint="eastAsia"/>
          <w:sz w:val="40"/>
          <w:szCs w:val="40"/>
        </w:rPr>
        <w:t>七點</w:t>
      </w:r>
      <w:r w:rsidR="002E0092" w:rsidRPr="007A4478">
        <w:rPr>
          <w:rFonts w:ascii="新細明體" w:eastAsia="新細明體" w:hAnsi="新細明體" w:hint="eastAsia"/>
          <w:sz w:val="40"/>
          <w:szCs w:val="40"/>
        </w:rPr>
        <w:t>、</w:t>
      </w:r>
      <w:r w:rsidR="002E0092" w:rsidRPr="007A4478">
        <w:rPr>
          <w:rFonts w:ascii="標楷體" w:eastAsia="標楷體" w:hAnsi="標楷體" w:hint="eastAsia"/>
          <w:sz w:val="40"/>
          <w:szCs w:val="40"/>
        </w:rPr>
        <w:t>第十二點修正對照表</w:t>
      </w:r>
    </w:p>
    <w:tbl>
      <w:tblPr>
        <w:tblStyle w:val="a3"/>
        <w:tblW w:w="0" w:type="auto"/>
        <w:tblLook w:val="04A0" w:firstRow="1" w:lastRow="0" w:firstColumn="1" w:lastColumn="0" w:noHBand="0" w:noVBand="1"/>
      </w:tblPr>
      <w:tblGrid>
        <w:gridCol w:w="2787"/>
        <w:gridCol w:w="2787"/>
        <w:gridCol w:w="2788"/>
      </w:tblGrid>
      <w:tr w:rsidR="002E0092" w:rsidTr="002E0092">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修正規定</w:t>
            </w:r>
          </w:p>
        </w:tc>
        <w:tc>
          <w:tcPr>
            <w:tcW w:w="2787"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現行規定</w:t>
            </w:r>
          </w:p>
        </w:tc>
        <w:tc>
          <w:tcPr>
            <w:tcW w:w="2788" w:type="dxa"/>
          </w:tcPr>
          <w:p w:rsidR="002E0092" w:rsidRPr="007A4478" w:rsidRDefault="00416D31" w:rsidP="007A4478">
            <w:pPr>
              <w:jc w:val="distribute"/>
              <w:rPr>
                <w:rFonts w:ascii="標楷體" w:eastAsia="標楷體" w:hAnsi="標楷體"/>
                <w:szCs w:val="24"/>
              </w:rPr>
            </w:pPr>
            <w:r w:rsidRPr="007A4478">
              <w:rPr>
                <w:rFonts w:ascii="標楷體" w:eastAsia="標楷體" w:hAnsi="標楷體" w:hint="eastAsia"/>
                <w:szCs w:val="24"/>
              </w:rPr>
              <w:t>說明</w:t>
            </w:r>
          </w:p>
        </w:tc>
      </w:tr>
      <w:tr w:rsidR="002E0092" w:rsidTr="00E5083E">
        <w:trPr>
          <w:trHeight w:val="3534"/>
        </w:trPr>
        <w:tc>
          <w:tcPr>
            <w:tcW w:w="2787" w:type="dxa"/>
          </w:tcPr>
          <w:p w:rsidR="00F9057A" w:rsidRPr="007A4478" w:rsidRDefault="00F9057A" w:rsidP="007A4478">
            <w:pPr>
              <w:pStyle w:val="a4"/>
              <w:spacing w:line="240" w:lineRule="auto"/>
              <w:ind w:leftChars="-57" w:left="379" w:hangingChars="215" w:hanging="516"/>
              <w:jc w:val="both"/>
              <w:rPr>
                <w:rFonts w:ascii="Times New Roman" w:hAnsi="Times New Roman"/>
                <w:snapToGrid w:val="0"/>
                <w:sz w:val="24"/>
                <w:szCs w:val="24"/>
              </w:rPr>
            </w:pPr>
            <w:r w:rsidRPr="007A4478">
              <w:rPr>
                <w:rFonts w:ascii="Times New Roman" w:hAnsi="Times New Roman" w:hint="eastAsia"/>
                <w:snapToGrid w:val="0"/>
                <w:sz w:val="24"/>
                <w:szCs w:val="24"/>
              </w:rPr>
              <w:t>七</w:t>
            </w:r>
            <w:r w:rsidRPr="007A4478">
              <w:rPr>
                <w:rFonts w:ascii="新細明體" w:eastAsia="新細明體" w:hAnsi="新細明體" w:hint="eastAsia"/>
                <w:snapToGrid w:val="0"/>
                <w:sz w:val="24"/>
                <w:szCs w:val="24"/>
              </w:rPr>
              <w:t>、</w:t>
            </w:r>
            <w:r w:rsidRPr="007A4478">
              <w:rPr>
                <w:rFonts w:ascii="Times New Roman" w:hAnsi="Times New Roman" w:hint="eastAsia"/>
                <w:snapToGrid w:val="0"/>
                <w:sz w:val="24"/>
                <w:szCs w:val="24"/>
              </w:rPr>
              <w:t>各機關得依下列程序辦理委外作業：</w:t>
            </w:r>
          </w:p>
          <w:p w:rsidR="00F2199B" w:rsidRPr="007A4478" w:rsidRDefault="002242AE" w:rsidP="00C4128A">
            <w:pPr>
              <w:pStyle w:val="a5"/>
              <w:numPr>
                <w:ilvl w:val="0"/>
                <w:numId w:val="1"/>
              </w:numPr>
              <w:spacing w:line="240" w:lineRule="auto"/>
              <w:ind w:leftChars="0" w:left="378" w:firstLineChars="0" w:hanging="462"/>
              <w:rPr>
                <w:rFonts w:ascii="Times New Roman" w:hAnsi="Times New Roman"/>
                <w:sz w:val="24"/>
                <w:szCs w:val="24"/>
              </w:rPr>
            </w:pPr>
            <w:r w:rsidRPr="007A4478">
              <w:rPr>
                <w:rFonts w:ascii="Times New Roman" w:hAnsi="Times New Roman" w:hint="eastAsia"/>
                <w:sz w:val="24"/>
                <w:szCs w:val="24"/>
              </w:rPr>
              <w:t>檢討委託民間辦理項目：各機關之專案小組應通盤檢討適合委外之</w:t>
            </w:r>
            <w:r w:rsidR="00F2199B" w:rsidRPr="007A4478">
              <w:rPr>
                <w:rFonts w:ascii="Times New Roman" w:hAnsi="Times New Roman" w:hint="eastAsia"/>
                <w:sz w:val="24"/>
                <w:szCs w:val="24"/>
              </w:rPr>
              <w:t>業務，評估其可行性及經濟效益，擬訂實施時程，報請主管機關核定</w:t>
            </w:r>
            <w:r w:rsidR="008557DE" w:rsidRPr="008557DE">
              <w:rPr>
                <w:rFonts w:ascii="新細明體" w:eastAsia="新細明體" w:hAnsi="新細明體" w:hint="eastAsia"/>
                <w:sz w:val="24"/>
                <w:szCs w:val="24"/>
              </w:rPr>
              <w:t>。</w:t>
            </w:r>
            <w:r w:rsidR="00D50A49">
              <w:rPr>
                <w:rFonts w:ascii="Times New Roman" w:hAnsi="Times New Roman" w:hint="eastAsia"/>
                <w:sz w:val="24"/>
                <w:szCs w:val="24"/>
                <w:u w:val="single"/>
              </w:rPr>
              <w:t>但主管機關得視</w:t>
            </w:r>
            <w:r w:rsidR="00A33AEE">
              <w:rPr>
                <w:rFonts w:ascii="Times New Roman" w:hAnsi="Times New Roman" w:hint="eastAsia"/>
                <w:sz w:val="24"/>
                <w:szCs w:val="24"/>
                <w:u w:val="single"/>
              </w:rPr>
              <w:t>需要，就第四點第二款所定</w:t>
            </w:r>
            <w:r w:rsidR="007D1044" w:rsidRPr="007A4478">
              <w:rPr>
                <w:rFonts w:ascii="Times New Roman" w:hAnsi="Times New Roman" w:hint="eastAsia"/>
                <w:sz w:val="24"/>
                <w:szCs w:val="24"/>
                <w:u w:val="single"/>
              </w:rPr>
              <w:t>部分</w:t>
            </w:r>
            <w:r w:rsidR="00B11CE2">
              <w:rPr>
                <w:rFonts w:ascii="Times New Roman" w:hAnsi="Times New Roman" w:hint="eastAsia"/>
                <w:sz w:val="24"/>
                <w:szCs w:val="24"/>
                <w:u w:val="single"/>
              </w:rPr>
              <w:t>業務</w:t>
            </w:r>
            <w:r w:rsidR="00D50A49">
              <w:rPr>
                <w:rFonts w:ascii="Times New Roman" w:hAnsi="Times New Roman" w:hint="eastAsia"/>
                <w:sz w:val="24"/>
                <w:szCs w:val="24"/>
                <w:u w:val="single"/>
              </w:rPr>
              <w:t>委外案件訂定授權條件，由各機關自行辦理</w:t>
            </w:r>
            <w:r w:rsidR="007D1044" w:rsidRPr="007A4478">
              <w:rPr>
                <w:rFonts w:ascii="Times New Roman" w:hAnsi="Times New Roman" w:hint="eastAsia"/>
                <w:sz w:val="24"/>
                <w:szCs w:val="24"/>
                <w:u w:val="single"/>
              </w:rPr>
              <w:t>。</w:t>
            </w:r>
          </w:p>
          <w:p w:rsidR="002242AE" w:rsidRPr="007A4478" w:rsidRDefault="002242AE" w:rsidP="00332160">
            <w:pPr>
              <w:pStyle w:val="a5"/>
              <w:numPr>
                <w:ilvl w:val="0"/>
                <w:numId w:val="1"/>
              </w:numPr>
              <w:spacing w:line="240" w:lineRule="auto"/>
              <w:ind w:leftChars="0" w:left="378" w:firstLineChars="0" w:hanging="462"/>
              <w:rPr>
                <w:rFonts w:ascii="Times New Roman" w:hAnsi="Times New Roman"/>
                <w:sz w:val="24"/>
                <w:szCs w:val="24"/>
              </w:rPr>
            </w:pPr>
            <w:r w:rsidRPr="007A4478">
              <w:rPr>
                <w:rFonts w:ascii="Times New Roman" w:hAnsi="Times New Roman" w:hint="eastAsia"/>
                <w:sz w:val="24"/>
                <w:szCs w:val="24"/>
              </w:rPr>
              <w:t>決定委託民間辦理方式：各機關應依促進民間參與公共建設法、政府採購法、民法、國有財產法等相關法規，評估業務委外辦理之適法性。</w:t>
            </w:r>
          </w:p>
          <w:p w:rsidR="002242AE" w:rsidRPr="007A4478" w:rsidRDefault="002242AE" w:rsidP="00332160">
            <w:pPr>
              <w:pStyle w:val="a5"/>
              <w:numPr>
                <w:ilvl w:val="0"/>
                <w:numId w:val="1"/>
              </w:numPr>
              <w:spacing w:line="240" w:lineRule="auto"/>
              <w:ind w:leftChars="0" w:left="392" w:firstLineChars="0" w:hanging="476"/>
              <w:rPr>
                <w:rFonts w:ascii="Times New Roman" w:hAnsi="Times New Roman"/>
                <w:sz w:val="24"/>
                <w:szCs w:val="24"/>
              </w:rPr>
            </w:pPr>
            <w:r w:rsidRPr="007A4478">
              <w:rPr>
                <w:rFonts w:ascii="Times New Roman" w:hAnsi="Times New Roman" w:hint="eastAsia"/>
                <w:sz w:val="24"/>
                <w:szCs w:val="24"/>
              </w:rPr>
              <w:t>訂定委託契約：各機關業務委外，應與受託之民間機構依相關法令訂定適當契約或相關文件；又各機關委託民間機構執行公共任務之項目，應明定於雙方簽訂之契約中。</w:t>
            </w:r>
          </w:p>
          <w:p w:rsidR="002E0092" w:rsidRPr="007A4478" w:rsidRDefault="002242AE" w:rsidP="005F329B">
            <w:pPr>
              <w:pStyle w:val="a5"/>
              <w:numPr>
                <w:ilvl w:val="0"/>
                <w:numId w:val="1"/>
              </w:numPr>
              <w:spacing w:line="240" w:lineRule="auto"/>
              <w:ind w:leftChars="0" w:left="392" w:firstLineChars="0" w:hanging="476"/>
              <w:rPr>
                <w:rFonts w:ascii="Times New Roman" w:hAnsi="Times New Roman"/>
                <w:sz w:val="24"/>
                <w:szCs w:val="24"/>
              </w:rPr>
            </w:pPr>
            <w:r w:rsidRPr="007A4478">
              <w:rPr>
                <w:rFonts w:ascii="Times New Roman" w:hAnsi="Times New Roman" w:hint="eastAsia"/>
                <w:sz w:val="24"/>
                <w:szCs w:val="24"/>
              </w:rPr>
              <w:t>監督查核：各機關業務委外，應依契約規定及內部控制制度，對受託之民間機構進</w:t>
            </w:r>
            <w:r w:rsidRPr="007A4478">
              <w:rPr>
                <w:rFonts w:ascii="Times New Roman" w:hAnsi="Times New Roman" w:hint="eastAsia"/>
                <w:sz w:val="24"/>
                <w:szCs w:val="24"/>
              </w:rPr>
              <w:lastRenderedPageBreak/>
              <w:t>行監督及查核，其方式得由各機關於契約中約定實施定期或不定期之查核（含書面報告及實地查核等方式），相關查核報告並得要求受託之民間機構提供量化及質化面向評估指標及結果。</w:t>
            </w:r>
          </w:p>
        </w:tc>
        <w:tc>
          <w:tcPr>
            <w:tcW w:w="2787" w:type="dxa"/>
          </w:tcPr>
          <w:p w:rsidR="00366710" w:rsidRPr="007A4478" w:rsidRDefault="007E5B61" w:rsidP="007A4478">
            <w:pPr>
              <w:pStyle w:val="a4"/>
              <w:spacing w:line="240" w:lineRule="auto"/>
              <w:ind w:leftChars="-57" w:left="365" w:hangingChars="209" w:hanging="502"/>
              <w:jc w:val="both"/>
              <w:rPr>
                <w:rFonts w:ascii="Times New Roman" w:hAnsi="Times New Roman"/>
                <w:snapToGrid w:val="0"/>
                <w:sz w:val="24"/>
                <w:szCs w:val="24"/>
              </w:rPr>
            </w:pPr>
            <w:r w:rsidRPr="007A4478">
              <w:rPr>
                <w:rFonts w:ascii="Times New Roman" w:hAnsi="Times New Roman" w:hint="eastAsia"/>
                <w:snapToGrid w:val="0"/>
                <w:sz w:val="24"/>
                <w:szCs w:val="24"/>
              </w:rPr>
              <w:lastRenderedPageBreak/>
              <w:t>七</w:t>
            </w:r>
            <w:r w:rsidRPr="007A4478">
              <w:rPr>
                <w:rFonts w:ascii="新細明體" w:eastAsia="新細明體" w:hAnsi="新細明體" w:hint="eastAsia"/>
                <w:snapToGrid w:val="0"/>
                <w:sz w:val="24"/>
                <w:szCs w:val="24"/>
              </w:rPr>
              <w:t>、</w:t>
            </w:r>
            <w:r w:rsidR="00366710" w:rsidRPr="007A4478">
              <w:rPr>
                <w:rFonts w:ascii="Times New Roman" w:hAnsi="Times New Roman" w:hint="eastAsia"/>
                <w:snapToGrid w:val="0"/>
                <w:sz w:val="24"/>
                <w:szCs w:val="24"/>
              </w:rPr>
              <w:t>各機關得依下列程序辦理委外作業：</w:t>
            </w:r>
          </w:p>
          <w:p w:rsidR="00366710" w:rsidRPr="007A4478" w:rsidRDefault="00366710" w:rsidP="004D141F">
            <w:pPr>
              <w:pStyle w:val="a5"/>
              <w:numPr>
                <w:ilvl w:val="0"/>
                <w:numId w:val="2"/>
              </w:numPr>
              <w:spacing w:line="240" w:lineRule="auto"/>
              <w:ind w:leftChars="0" w:left="363" w:firstLineChars="0" w:hanging="448"/>
              <w:rPr>
                <w:rFonts w:ascii="Times New Roman" w:hAnsi="Times New Roman"/>
                <w:sz w:val="24"/>
                <w:szCs w:val="24"/>
              </w:rPr>
            </w:pPr>
            <w:r w:rsidRPr="007A4478">
              <w:rPr>
                <w:rFonts w:ascii="Times New Roman" w:hAnsi="Times New Roman" w:hint="eastAsia"/>
                <w:sz w:val="24"/>
                <w:szCs w:val="24"/>
              </w:rPr>
              <w:t>檢討委託民間辦理項目：各機關之專案小組應通盤檢討適合委外之業務，評估其可行性及經濟效益，擬訂實施時程，報請主管機關核定。</w:t>
            </w:r>
          </w:p>
          <w:p w:rsidR="006D15D4" w:rsidRPr="007A4478" w:rsidRDefault="006D15D4" w:rsidP="007A4478">
            <w:pPr>
              <w:pStyle w:val="a5"/>
              <w:spacing w:line="240" w:lineRule="auto"/>
              <w:ind w:leftChars="0" w:firstLineChars="0"/>
              <w:rPr>
                <w:rFonts w:ascii="Times New Roman" w:hAnsi="Times New Roman"/>
                <w:sz w:val="24"/>
                <w:szCs w:val="24"/>
              </w:rPr>
            </w:pPr>
          </w:p>
          <w:p w:rsidR="006D15D4" w:rsidRPr="007A4478" w:rsidRDefault="006D15D4" w:rsidP="007A4478">
            <w:pPr>
              <w:pStyle w:val="a5"/>
              <w:spacing w:line="240" w:lineRule="auto"/>
              <w:ind w:leftChars="0" w:firstLineChars="0"/>
              <w:rPr>
                <w:rFonts w:ascii="Times New Roman" w:hAnsi="Times New Roman"/>
                <w:sz w:val="24"/>
                <w:szCs w:val="24"/>
              </w:rPr>
            </w:pPr>
          </w:p>
          <w:p w:rsidR="006D15D4" w:rsidRPr="007A4478" w:rsidRDefault="006D15D4" w:rsidP="007A4478">
            <w:pPr>
              <w:pStyle w:val="a5"/>
              <w:spacing w:line="240" w:lineRule="auto"/>
              <w:ind w:leftChars="0" w:firstLineChars="0"/>
              <w:rPr>
                <w:rFonts w:ascii="Times New Roman" w:hAnsi="Times New Roman"/>
                <w:sz w:val="24"/>
                <w:szCs w:val="24"/>
              </w:rPr>
            </w:pPr>
          </w:p>
          <w:p w:rsidR="002C317D" w:rsidRPr="007A4478" w:rsidRDefault="002C317D" w:rsidP="003C2C0B">
            <w:pPr>
              <w:pStyle w:val="a5"/>
              <w:spacing w:line="240" w:lineRule="auto"/>
              <w:ind w:leftChars="0" w:left="0" w:firstLineChars="0" w:firstLine="0"/>
              <w:rPr>
                <w:rFonts w:ascii="Times New Roman" w:hAnsi="Times New Roman"/>
                <w:sz w:val="24"/>
                <w:szCs w:val="24"/>
              </w:rPr>
            </w:pPr>
          </w:p>
          <w:p w:rsidR="006D15D4" w:rsidRPr="007A4478" w:rsidRDefault="006D15D4" w:rsidP="007A4478">
            <w:pPr>
              <w:pStyle w:val="a5"/>
              <w:spacing w:line="240" w:lineRule="auto"/>
              <w:ind w:leftChars="0" w:firstLineChars="0"/>
              <w:rPr>
                <w:rFonts w:ascii="Times New Roman" w:hAnsi="Times New Roman"/>
                <w:sz w:val="24"/>
                <w:szCs w:val="24"/>
              </w:rPr>
            </w:pPr>
          </w:p>
          <w:p w:rsidR="00366710" w:rsidRPr="007A4478" w:rsidRDefault="00366710" w:rsidP="004D141F">
            <w:pPr>
              <w:pStyle w:val="a5"/>
              <w:numPr>
                <w:ilvl w:val="0"/>
                <w:numId w:val="2"/>
              </w:numPr>
              <w:spacing w:line="240" w:lineRule="auto"/>
              <w:ind w:leftChars="0" w:left="363" w:firstLineChars="0" w:hanging="448"/>
              <w:rPr>
                <w:rFonts w:ascii="Times New Roman" w:hAnsi="Times New Roman"/>
                <w:sz w:val="24"/>
                <w:szCs w:val="24"/>
              </w:rPr>
            </w:pPr>
            <w:r w:rsidRPr="007A4478">
              <w:rPr>
                <w:rFonts w:ascii="Times New Roman" w:hAnsi="Times New Roman" w:hint="eastAsia"/>
                <w:sz w:val="24"/>
                <w:szCs w:val="24"/>
              </w:rPr>
              <w:t>決定委託民間辦理方式：各機關應依促進民間參與公共建設法、政府採購法、民法、國有財產法等相關法規，評估業務委外辦理之適法性。</w:t>
            </w:r>
          </w:p>
          <w:p w:rsidR="00366710" w:rsidRPr="007A4478" w:rsidRDefault="00366710" w:rsidP="00E90526">
            <w:pPr>
              <w:pStyle w:val="a5"/>
              <w:numPr>
                <w:ilvl w:val="0"/>
                <w:numId w:val="2"/>
              </w:numPr>
              <w:spacing w:line="240" w:lineRule="auto"/>
              <w:ind w:leftChars="0" w:left="377" w:firstLineChars="0" w:hanging="470"/>
              <w:rPr>
                <w:rFonts w:ascii="Times New Roman" w:hAnsi="Times New Roman"/>
                <w:sz w:val="24"/>
                <w:szCs w:val="24"/>
              </w:rPr>
            </w:pPr>
            <w:r w:rsidRPr="007A4478">
              <w:rPr>
                <w:rFonts w:ascii="Times New Roman" w:hAnsi="Times New Roman" w:hint="eastAsia"/>
                <w:sz w:val="24"/>
                <w:szCs w:val="24"/>
              </w:rPr>
              <w:t>訂定委託契約：各機關業務委外，應與受託之民間機構依相關法令訂定適當契約或相關文件；又各機關委託民間機構執行公共任務之項目，應明定於雙方簽訂之契約中。</w:t>
            </w:r>
          </w:p>
          <w:p w:rsidR="002E0092" w:rsidRPr="00E5083E" w:rsidRDefault="00366710" w:rsidP="007A4478">
            <w:pPr>
              <w:pStyle w:val="a5"/>
              <w:numPr>
                <w:ilvl w:val="0"/>
                <w:numId w:val="2"/>
              </w:numPr>
              <w:spacing w:line="240" w:lineRule="auto"/>
              <w:ind w:leftChars="0" w:left="391" w:firstLineChars="0" w:hanging="476"/>
              <w:rPr>
                <w:rFonts w:ascii="Times New Roman" w:hAnsi="Times New Roman"/>
                <w:sz w:val="24"/>
                <w:szCs w:val="24"/>
              </w:rPr>
            </w:pPr>
            <w:r w:rsidRPr="007A4478">
              <w:rPr>
                <w:rFonts w:ascii="Times New Roman" w:hAnsi="Times New Roman" w:hint="eastAsia"/>
                <w:sz w:val="24"/>
                <w:szCs w:val="24"/>
              </w:rPr>
              <w:t>監督查核：各機關業務委外，應依契約規定及內部控制制度，對受託之民間機構進</w:t>
            </w:r>
            <w:r w:rsidRPr="007A4478">
              <w:rPr>
                <w:rFonts w:ascii="Times New Roman" w:hAnsi="Times New Roman" w:hint="eastAsia"/>
                <w:sz w:val="24"/>
                <w:szCs w:val="24"/>
              </w:rPr>
              <w:lastRenderedPageBreak/>
              <w:t>行監督及查核，其方式得由各機關於契約中約定實施定期或不定期之查核（含書面報告及實地查核等方式），相關查核報告並得要求受託之民間機構提供量化及質化面向評估指標及結果。</w:t>
            </w:r>
          </w:p>
        </w:tc>
        <w:tc>
          <w:tcPr>
            <w:tcW w:w="2788" w:type="dxa"/>
          </w:tcPr>
          <w:p w:rsidR="00B55533" w:rsidRPr="007A4478" w:rsidRDefault="00A21A98" w:rsidP="007A4478">
            <w:pPr>
              <w:pStyle w:val="a4"/>
              <w:spacing w:line="240" w:lineRule="auto"/>
              <w:ind w:leftChars="-56" w:left="360" w:hangingChars="206" w:hanging="494"/>
              <w:jc w:val="both"/>
              <w:rPr>
                <w:sz w:val="24"/>
                <w:szCs w:val="24"/>
              </w:rPr>
            </w:pPr>
            <w:r w:rsidRPr="007A4478">
              <w:rPr>
                <w:rFonts w:hint="eastAsia"/>
                <w:sz w:val="24"/>
                <w:szCs w:val="24"/>
              </w:rPr>
              <w:lastRenderedPageBreak/>
              <w:t>一</w:t>
            </w:r>
            <w:r w:rsidRPr="007A4478">
              <w:rPr>
                <w:rFonts w:ascii="新細明體" w:eastAsia="新細明體" w:hAnsi="新細明體" w:hint="eastAsia"/>
                <w:sz w:val="24"/>
                <w:szCs w:val="24"/>
              </w:rPr>
              <w:t>、</w:t>
            </w:r>
            <w:r w:rsidR="00D7206C" w:rsidRPr="007A4478">
              <w:rPr>
                <w:rFonts w:hint="eastAsia"/>
                <w:sz w:val="24"/>
                <w:szCs w:val="24"/>
              </w:rPr>
              <w:t>考量主管機關</w:t>
            </w:r>
            <w:r w:rsidR="00D7206C" w:rsidRPr="007A4478">
              <w:rPr>
                <w:rFonts w:ascii="Times New Roman" w:hAnsi="Times New Roman" w:hint="eastAsia"/>
                <w:snapToGrid w:val="0"/>
                <w:sz w:val="24"/>
                <w:szCs w:val="24"/>
              </w:rPr>
              <w:t>透過</w:t>
            </w:r>
            <w:r w:rsidR="00CB24A2">
              <w:rPr>
                <w:rFonts w:hint="eastAsia"/>
                <w:sz w:val="24"/>
                <w:szCs w:val="24"/>
              </w:rPr>
              <w:t>督導作為已可掌握所屬機關</w:t>
            </w:r>
            <w:r w:rsidR="00E0378D" w:rsidRPr="007A4478">
              <w:rPr>
                <w:rFonts w:hint="eastAsia"/>
                <w:sz w:val="24"/>
                <w:szCs w:val="24"/>
              </w:rPr>
              <w:t>委外辦理狀況</w:t>
            </w:r>
            <w:r w:rsidR="00D7206C" w:rsidRPr="007A4478">
              <w:rPr>
                <w:rFonts w:hint="eastAsia"/>
                <w:sz w:val="24"/>
                <w:szCs w:val="24"/>
              </w:rPr>
              <w:t>，又</w:t>
            </w:r>
            <w:r w:rsidR="0050542E" w:rsidRPr="007A4478">
              <w:rPr>
                <w:rFonts w:hint="eastAsia"/>
                <w:sz w:val="24"/>
                <w:szCs w:val="24"/>
              </w:rPr>
              <w:t>各機關委外案件量逐年增多，</w:t>
            </w:r>
            <w:r w:rsidR="00D7206C" w:rsidRPr="007A4478">
              <w:rPr>
                <w:rFonts w:hint="eastAsia"/>
                <w:sz w:val="24"/>
                <w:szCs w:val="24"/>
              </w:rPr>
              <w:t>主管機關委外案件審</w:t>
            </w:r>
            <w:r w:rsidR="00963FF5" w:rsidRPr="007A4478">
              <w:rPr>
                <w:rFonts w:hint="eastAsia"/>
                <w:sz w:val="24"/>
                <w:szCs w:val="24"/>
              </w:rPr>
              <w:t>查</w:t>
            </w:r>
            <w:r w:rsidR="00DC29D4" w:rsidRPr="007A4478">
              <w:rPr>
                <w:rFonts w:hint="eastAsia"/>
                <w:sz w:val="24"/>
                <w:szCs w:val="24"/>
              </w:rPr>
              <w:t>量確實繁重，</w:t>
            </w:r>
            <w:r w:rsidR="00C4128A">
              <w:rPr>
                <w:rFonts w:hint="eastAsia"/>
                <w:sz w:val="24"/>
                <w:szCs w:val="24"/>
              </w:rPr>
              <w:t>為提升委外辦理效率，</w:t>
            </w:r>
            <w:r w:rsidR="00D7531D">
              <w:rPr>
                <w:rFonts w:hint="eastAsia"/>
                <w:sz w:val="24"/>
                <w:szCs w:val="24"/>
              </w:rPr>
              <w:t>擬</w:t>
            </w:r>
            <w:r w:rsidR="00E5083E">
              <w:rPr>
                <w:rFonts w:hint="eastAsia"/>
                <w:sz w:val="24"/>
                <w:szCs w:val="24"/>
              </w:rPr>
              <w:t>適度</w:t>
            </w:r>
            <w:r w:rsidR="00A63CCB">
              <w:rPr>
                <w:rFonts w:hint="eastAsia"/>
                <w:sz w:val="24"/>
                <w:szCs w:val="24"/>
              </w:rPr>
              <w:t>授權各機關</w:t>
            </w:r>
            <w:r w:rsidR="00E5083E">
              <w:rPr>
                <w:rFonts w:hint="eastAsia"/>
                <w:sz w:val="24"/>
                <w:szCs w:val="24"/>
              </w:rPr>
              <w:t>得</w:t>
            </w:r>
            <w:r w:rsidR="00BA2363">
              <w:rPr>
                <w:rFonts w:hint="eastAsia"/>
                <w:sz w:val="24"/>
                <w:szCs w:val="24"/>
              </w:rPr>
              <w:t>自行</w:t>
            </w:r>
            <w:r w:rsidR="00C8070E">
              <w:rPr>
                <w:rFonts w:hint="eastAsia"/>
                <w:sz w:val="24"/>
                <w:szCs w:val="24"/>
              </w:rPr>
              <w:t>辦理</w:t>
            </w:r>
            <w:r w:rsidR="00A63CCB">
              <w:rPr>
                <w:rFonts w:hint="eastAsia"/>
                <w:sz w:val="24"/>
                <w:szCs w:val="24"/>
              </w:rPr>
              <w:t>委外案件</w:t>
            </w:r>
            <w:r w:rsidR="007C186C" w:rsidRPr="007A4478">
              <w:rPr>
                <w:rFonts w:hint="eastAsia"/>
                <w:sz w:val="24"/>
                <w:szCs w:val="24"/>
              </w:rPr>
              <w:t>。</w:t>
            </w:r>
          </w:p>
          <w:p w:rsidR="002E0092" w:rsidRPr="007A4478" w:rsidRDefault="00A21A98" w:rsidP="0092534F">
            <w:pPr>
              <w:pStyle w:val="a4"/>
              <w:spacing w:line="240" w:lineRule="auto"/>
              <w:ind w:leftChars="-57" w:left="362" w:hangingChars="208" w:hanging="499"/>
              <w:jc w:val="both"/>
              <w:rPr>
                <w:sz w:val="24"/>
                <w:szCs w:val="24"/>
              </w:rPr>
            </w:pPr>
            <w:r w:rsidRPr="007A4478">
              <w:rPr>
                <w:rFonts w:hint="eastAsia"/>
                <w:sz w:val="24"/>
                <w:szCs w:val="24"/>
              </w:rPr>
              <w:t>二</w:t>
            </w:r>
            <w:r w:rsidRPr="007A4478">
              <w:rPr>
                <w:rFonts w:ascii="新細明體" w:eastAsia="新細明體" w:hAnsi="新細明體" w:hint="eastAsia"/>
                <w:sz w:val="24"/>
                <w:szCs w:val="24"/>
              </w:rPr>
              <w:t>、</w:t>
            </w:r>
            <w:r w:rsidR="00E5083E">
              <w:rPr>
                <w:rFonts w:hint="eastAsia"/>
                <w:sz w:val="24"/>
                <w:szCs w:val="24"/>
              </w:rPr>
              <w:t>復經</w:t>
            </w:r>
            <w:r w:rsidR="00805393" w:rsidRPr="007A4478">
              <w:rPr>
                <w:rFonts w:hint="eastAsia"/>
                <w:sz w:val="24"/>
                <w:szCs w:val="24"/>
              </w:rPr>
              <w:t>酌</w:t>
            </w:r>
            <w:r w:rsidR="007A6ADB">
              <w:rPr>
                <w:rFonts w:hint="eastAsia"/>
                <w:sz w:val="24"/>
                <w:szCs w:val="24"/>
              </w:rPr>
              <w:t>涉及公權力委託案件</w:t>
            </w:r>
            <w:r w:rsidR="007C267F">
              <w:rPr>
                <w:rFonts w:hint="eastAsia"/>
                <w:sz w:val="24"/>
                <w:szCs w:val="24"/>
              </w:rPr>
              <w:t>與</w:t>
            </w:r>
            <w:r w:rsidR="007A6ADB">
              <w:rPr>
                <w:rFonts w:hint="eastAsia"/>
                <w:sz w:val="24"/>
                <w:szCs w:val="24"/>
              </w:rPr>
              <w:t>本要點第四點</w:t>
            </w:r>
            <w:r w:rsidR="00805393" w:rsidRPr="007A4478">
              <w:rPr>
                <w:rFonts w:hint="eastAsia"/>
                <w:sz w:val="24"/>
                <w:szCs w:val="24"/>
              </w:rPr>
              <w:t>所</w:t>
            </w:r>
            <w:r w:rsidR="0092534F">
              <w:rPr>
                <w:rFonts w:hint="eastAsia"/>
                <w:sz w:val="24"/>
                <w:szCs w:val="24"/>
              </w:rPr>
              <w:t>定</w:t>
            </w:r>
            <w:r w:rsidR="00805393" w:rsidRPr="007A4478">
              <w:rPr>
                <w:rFonts w:hint="eastAsia"/>
                <w:sz w:val="24"/>
                <w:szCs w:val="24"/>
              </w:rPr>
              <w:t>整體業務委外</w:t>
            </w:r>
            <w:r w:rsidR="00484B82" w:rsidRPr="007A4478">
              <w:rPr>
                <w:rFonts w:hint="eastAsia"/>
                <w:sz w:val="24"/>
                <w:szCs w:val="24"/>
              </w:rPr>
              <w:t>及</w:t>
            </w:r>
            <w:r w:rsidR="006A308D" w:rsidRPr="007A4478">
              <w:rPr>
                <w:rFonts w:hint="eastAsia"/>
                <w:sz w:val="24"/>
                <w:szCs w:val="24"/>
              </w:rPr>
              <w:t>部</w:t>
            </w:r>
            <w:r w:rsidR="002C27AF" w:rsidRPr="007A4478">
              <w:rPr>
                <w:rFonts w:hint="eastAsia"/>
                <w:sz w:val="24"/>
                <w:szCs w:val="24"/>
              </w:rPr>
              <w:t>分</w:t>
            </w:r>
            <w:r w:rsidR="006A308D" w:rsidRPr="007A4478">
              <w:rPr>
                <w:rFonts w:hint="eastAsia"/>
                <w:sz w:val="24"/>
                <w:szCs w:val="24"/>
              </w:rPr>
              <w:t>業務委外</w:t>
            </w:r>
            <w:r w:rsidR="007C267F">
              <w:rPr>
                <w:rFonts w:hint="eastAsia"/>
                <w:sz w:val="24"/>
                <w:szCs w:val="24"/>
              </w:rPr>
              <w:t>之性質</w:t>
            </w:r>
            <w:r w:rsidR="002C27AF" w:rsidRPr="007A4478">
              <w:rPr>
                <w:rFonts w:hint="eastAsia"/>
                <w:sz w:val="24"/>
                <w:szCs w:val="24"/>
              </w:rPr>
              <w:t>，</w:t>
            </w:r>
            <w:r w:rsidR="006A308D" w:rsidRPr="007A4478">
              <w:rPr>
                <w:rFonts w:hint="eastAsia"/>
                <w:sz w:val="24"/>
                <w:szCs w:val="24"/>
              </w:rPr>
              <w:t>因</w:t>
            </w:r>
            <w:r w:rsidR="007C267F">
              <w:rPr>
                <w:rFonts w:hint="eastAsia"/>
                <w:sz w:val="24"/>
                <w:szCs w:val="24"/>
              </w:rPr>
              <w:t>部分業務委外</w:t>
            </w:r>
            <w:r w:rsidR="006A308D" w:rsidRPr="007A4478">
              <w:rPr>
                <w:rFonts w:hint="eastAsia"/>
                <w:sz w:val="24"/>
                <w:szCs w:val="24"/>
              </w:rPr>
              <w:t>屬內部</w:t>
            </w:r>
            <w:r w:rsidR="000954B6" w:rsidRPr="007A4478">
              <w:rPr>
                <w:rFonts w:hint="eastAsia"/>
                <w:sz w:val="24"/>
                <w:szCs w:val="24"/>
              </w:rPr>
              <w:t>事務或服務及輔助行政事項，較不涉及對外公共事務</w:t>
            </w:r>
            <w:r w:rsidR="00C87766" w:rsidRPr="007A4478">
              <w:rPr>
                <w:rFonts w:hint="eastAsia"/>
                <w:sz w:val="24"/>
                <w:szCs w:val="24"/>
              </w:rPr>
              <w:t>，</w:t>
            </w:r>
            <w:r w:rsidR="00BA2363">
              <w:rPr>
                <w:rFonts w:hint="eastAsia"/>
                <w:sz w:val="24"/>
                <w:szCs w:val="24"/>
              </w:rPr>
              <w:t>為適度簡化委外行政流程</w:t>
            </w:r>
            <w:r w:rsidR="000D0705">
              <w:rPr>
                <w:rFonts w:hint="eastAsia"/>
                <w:sz w:val="24"/>
                <w:szCs w:val="24"/>
              </w:rPr>
              <w:t>，</w:t>
            </w:r>
            <w:r w:rsidR="00C87766" w:rsidRPr="007A4478">
              <w:rPr>
                <w:rFonts w:hint="eastAsia"/>
                <w:sz w:val="24"/>
                <w:szCs w:val="24"/>
              </w:rPr>
              <w:t>爰</w:t>
            </w:r>
            <w:r w:rsidR="001B6187" w:rsidRPr="007A4478">
              <w:rPr>
                <w:rFonts w:hint="eastAsia"/>
                <w:sz w:val="24"/>
                <w:szCs w:val="24"/>
              </w:rPr>
              <w:t>增列</w:t>
            </w:r>
            <w:r w:rsidR="00F4147A">
              <w:rPr>
                <w:rFonts w:hint="eastAsia"/>
                <w:sz w:val="24"/>
                <w:szCs w:val="24"/>
              </w:rPr>
              <w:t>第一款後段</w:t>
            </w:r>
            <w:r w:rsidR="000D0705">
              <w:rPr>
                <w:rFonts w:hint="eastAsia"/>
                <w:sz w:val="24"/>
                <w:szCs w:val="24"/>
              </w:rPr>
              <w:t>部分</w:t>
            </w:r>
            <w:r w:rsidR="00E5083E">
              <w:rPr>
                <w:rFonts w:hint="eastAsia"/>
                <w:sz w:val="24"/>
                <w:szCs w:val="24"/>
              </w:rPr>
              <w:t>業務</w:t>
            </w:r>
            <w:r w:rsidR="000D0705">
              <w:rPr>
                <w:rFonts w:hint="eastAsia"/>
                <w:sz w:val="24"/>
                <w:szCs w:val="24"/>
              </w:rPr>
              <w:t>委外之授權</w:t>
            </w:r>
            <w:r w:rsidR="00D7206C" w:rsidRPr="007A4478">
              <w:rPr>
                <w:rFonts w:hint="eastAsia"/>
                <w:sz w:val="24"/>
                <w:szCs w:val="24"/>
              </w:rPr>
              <w:t>規定。</w:t>
            </w:r>
            <w:r w:rsidR="00E5083E">
              <w:rPr>
                <w:rFonts w:hint="eastAsia"/>
                <w:sz w:val="24"/>
                <w:szCs w:val="24"/>
              </w:rPr>
              <w:t>惟</w:t>
            </w:r>
            <w:r w:rsidR="00EA4A38">
              <w:rPr>
                <w:rFonts w:hint="eastAsia"/>
                <w:sz w:val="24"/>
                <w:szCs w:val="24"/>
              </w:rPr>
              <w:t>各主管機關</w:t>
            </w:r>
            <w:r w:rsidR="00E5083E">
              <w:rPr>
                <w:rFonts w:hint="eastAsia"/>
                <w:sz w:val="24"/>
                <w:szCs w:val="24"/>
              </w:rPr>
              <w:t>應</w:t>
            </w:r>
            <w:r w:rsidR="00EA4A38">
              <w:rPr>
                <w:rFonts w:hint="eastAsia"/>
                <w:sz w:val="24"/>
                <w:szCs w:val="24"/>
              </w:rPr>
              <w:t>確實落實委外作業之督導評核工作，</w:t>
            </w:r>
            <w:r w:rsidR="00A63CCB">
              <w:rPr>
                <w:rFonts w:hint="eastAsia"/>
                <w:sz w:val="24"/>
                <w:szCs w:val="24"/>
              </w:rPr>
              <w:t>以</w:t>
            </w:r>
            <w:r w:rsidR="00C63F9D">
              <w:rPr>
                <w:rFonts w:hint="eastAsia"/>
                <w:sz w:val="24"/>
                <w:szCs w:val="24"/>
              </w:rPr>
              <w:t>確保授權後之委外公共效益及服務品質</w:t>
            </w:r>
            <w:r w:rsidR="00891DEA">
              <w:rPr>
                <w:rFonts w:ascii="新細明體" w:eastAsia="新細明體" w:hAnsi="新細明體" w:hint="eastAsia"/>
                <w:sz w:val="24"/>
                <w:szCs w:val="24"/>
              </w:rPr>
              <w:t>。</w:t>
            </w:r>
          </w:p>
        </w:tc>
      </w:tr>
      <w:tr w:rsidR="009C57E1" w:rsidTr="00E5083E">
        <w:trPr>
          <w:trHeight w:val="3534"/>
        </w:trPr>
        <w:tc>
          <w:tcPr>
            <w:tcW w:w="2787" w:type="dxa"/>
          </w:tcPr>
          <w:p w:rsidR="009C57E1" w:rsidRPr="00532840" w:rsidRDefault="009C57E1" w:rsidP="00EC2AEF">
            <w:pPr>
              <w:ind w:left="658" w:hangingChars="274" w:hanging="658"/>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lastRenderedPageBreak/>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各機關整體業務委外案件，應於每年六、十二月底前將辦理情形送人事總處，其格式如附表；各機關部分業務委外案件，由主管機關自行列管。</w:t>
            </w:r>
          </w:p>
          <w:p w:rsidR="009C57E1" w:rsidRPr="00532840" w:rsidRDefault="009C57E1" w:rsidP="00EC2AEF">
            <w:pPr>
              <w:ind w:leftChars="280" w:left="672" w:firstLineChars="232" w:firstLine="557"/>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為瞭解各機關推動業務委外情形，得由人事總處會同本院綜合業務處、主計總處、</w:t>
            </w:r>
            <w:r w:rsidRPr="00532840">
              <w:rPr>
                <w:rFonts w:ascii="Times New Roman" w:eastAsia="標楷體" w:hAnsi="Times New Roman" w:cs="Times New Roman" w:hint="eastAsia"/>
                <w:snapToGrid w:val="0"/>
                <w:szCs w:val="24"/>
                <w:u w:val="single"/>
              </w:rPr>
              <w:t>國家發展委員會</w:t>
            </w:r>
            <w:r w:rsidRPr="00532840">
              <w:rPr>
                <w:rFonts w:ascii="Times New Roman" w:eastAsia="標楷體" w:hAnsi="Times New Roman" w:cs="Times New Roman" w:hint="eastAsia"/>
                <w:snapToGrid w:val="0"/>
                <w:szCs w:val="24"/>
              </w:rPr>
              <w:t>及公共工程委員會等機關及學者、專家組成評鑑小組實施評鑑，其評鑑方式、項目及結論管考如下：</w:t>
            </w:r>
          </w:p>
          <w:p w:rsidR="009C57E1" w:rsidRPr="00532840" w:rsidRDefault="009C57E1" w:rsidP="00C254D5">
            <w:pPr>
              <w:ind w:leftChars="354" w:left="850" w:firstLineChars="202" w:firstLine="485"/>
              <w:jc w:val="both"/>
              <w:rPr>
                <w:rFonts w:ascii="Times New Roman" w:eastAsia="標楷體" w:hAnsi="Times New Roman" w:cs="Times New Roman"/>
                <w:snapToGrid w:val="0"/>
                <w:szCs w:val="24"/>
              </w:rPr>
            </w:pPr>
          </w:p>
          <w:p w:rsidR="009C57E1" w:rsidRPr="00532840" w:rsidRDefault="009C57E1" w:rsidP="00C254D5">
            <w:pPr>
              <w:ind w:leftChars="354" w:left="850" w:firstLineChars="202" w:firstLine="485"/>
              <w:jc w:val="both"/>
              <w:rPr>
                <w:rFonts w:ascii="Times New Roman" w:eastAsia="標楷體" w:hAnsi="Times New Roman" w:cs="Times New Roman"/>
                <w:snapToGrid w:val="0"/>
                <w:szCs w:val="24"/>
              </w:rPr>
            </w:pPr>
          </w:p>
          <w:p w:rsidR="009C57E1" w:rsidRPr="00532840" w:rsidRDefault="009C57E1" w:rsidP="00C254D5">
            <w:pPr>
              <w:numPr>
                <w:ilvl w:val="0"/>
                <w:numId w:val="3"/>
              </w:numPr>
              <w:ind w:left="714" w:hanging="43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評鑑方式：以實地評鑑為原則，必要時得採書面評鑑。</w:t>
            </w:r>
          </w:p>
          <w:p w:rsidR="009C57E1" w:rsidRPr="00532840" w:rsidRDefault="009C57E1" w:rsidP="00C254D5">
            <w:pPr>
              <w:numPr>
                <w:ilvl w:val="0"/>
                <w:numId w:val="3"/>
              </w:numPr>
              <w:ind w:left="714" w:hanging="43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評鑑項目：評鑑重點項目包含委外前後公共任務執</w:t>
            </w:r>
            <w:r w:rsidRPr="00532840">
              <w:rPr>
                <w:rFonts w:ascii="Times New Roman" w:eastAsia="標楷體" w:hAnsi="Times New Roman" w:cs="Times New Roman" w:hint="eastAsia"/>
                <w:snapToGrid w:val="0"/>
                <w:szCs w:val="24"/>
              </w:rPr>
              <w:lastRenderedPageBreak/>
              <w:t>行情形、人力配置消長、經費編列情形、委外效益、履約管理及內部控制制度等。</w:t>
            </w:r>
          </w:p>
          <w:p w:rsidR="009C57E1" w:rsidRPr="00532840" w:rsidRDefault="009C57E1" w:rsidP="00C254D5">
            <w:pPr>
              <w:numPr>
                <w:ilvl w:val="0"/>
                <w:numId w:val="3"/>
              </w:numPr>
              <w:ind w:left="709" w:hanging="415"/>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評鑑結論管考：由評鑑小組依評鑑結果進行會商，並提出評鑑結論，經本院核定後，送受評機關據以執行，受評機關應於每半年將執行情形送人事總處列管。</w:t>
            </w:r>
          </w:p>
          <w:p w:rsidR="009C57E1" w:rsidRPr="00532840" w:rsidRDefault="009C57E1" w:rsidP="00C254D5">
            <w:pPr>
              <w:ind w:leftChars="295" w:left="708" w:firstLineChars="206" w:firstLine="494"/>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7" w:type="dxa"/>
          </w:tcPr>
          <w:p w:rsidR="009C57E1" w:rsidRPr="00532840" w:rsidRDefault="009C57E1" w:rsidP="00EC2AEF">
            <w:pPr>
              <w:ind w:left="670" w:hangingChars="279" w:hanging="670"/>
              <w:jc w:val="both"/>
              <w:rPr>
                <w:rFonts w:ascii="Times New Roman" w:eastAsia="標楷體" w:hAnsi="Times New Roman" w:cs="Times New Roman"/>
                <w:snapToGrid w:val="0"/>
                <w:szCs w:val="24"/>
              </w:rPr>
            </w:pPr>
            <w:r w:rsidRPr="00532840">
              <w:rPr>
                <w:rFonts w:ascii="Times New Roman" w:eastAsia="標楷體" w:hAnsi="Times New Roman" w:cs="Times New Roman"/>
                <w:snapToGrid w:val="0"/>
                <w:szCs w:val="24"/>
              </w:rPr>
              <w:lastRenderedPageBreak/>
              <w:t>十</w:t>
            </w:r>
            <w:r w:rsidRPr="00532840">
              <w:rPr>
                <w:rFonts w:ascii="Times New Roman" w:eastAsia="標楷體" w:hAnsi="Times New Roman" w:cs="Times New Roman" w:hint="eastAsia"/>
                <w:snapToGrid w:val="0"/>
                <w:szCs w:val="24"/>
              </w:rPr>
              <w:t>二</w:t>
            </w:r>
            <w:r w:rsidRPr="00532840">
              <w:rPr>
                <w:rFonts w:ascii="Times New Roman" w:eastAsia="標楷體" w:hAnsi="Times New Roman" w:cs="Times New Roman"/>
                <w:snapToGrid w:val="0"/>
                <w:szCs w:val="24"/>
              </w:rPr>
              <w:t>、</w:t>
            </w:r>
            <w:r w:rsidRPr="00532840">
              <w:rPr>
                <w:rFonts w:ascii="Times New Roman" w:eastAsia="標楷體" w:hAnsi="Times New Roman" w:cs="Times New Roman" w:hint="eastAsia"/>
                <w:snapToGrid w:val="0"/>
                <w:szCs w:val="24"/>
              </w:rPr>
              <w:t>各機關整體業務委外案件，應於每年六、十二月底前將辦理情形送人事總處，其格式如附表；各機關部分業務委外案件，由主管機關自行列管。</w:t>
            </w:r>
          </w:p>
          <w:p w:rsidR="009C57E1" w:rsidRPr="00532840" w:rsidRDefault="009C57E1" w:rsidP="00EC2AEF">
            <w:pPr>
              <w:ind w:leftChars="285" w:left="684" w:firstLineChars="222" w:firstLine="533"/>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為瞭解各機關推動業務委外情形，得由人事總處會同本院綜合業務處、主計總處、</w:t>
            </w:r>
            <w:r w:rsidRPr="00532840">
              <w:rPr>
                <w:rFonts w:ascii="Times New Roman" w:eastAsia="標楷體" w:hAnsi="Times New Roman" w:cs="Times New Roman" w:hint="eastAsia"/>
                <w:snapToGrid w:val="0"/>
                <w:szCs w:val="24"/>
                <w:u w:val="single"/>
              </w:rPr>
              <w:t>研究發展考核委員會、經濟建設委員會</w:t>
            </w:r>
            <w:r w:rsidRPr="00532840">
              <w:rPr>
                <w:rFonts w:ascii="Times New Roman" w:eastAsia="標楷體" w:hAnsi="Times New Roman" w:cs="Times New Roman" w:hint="eastAsia"/>
                <w:snapToGrid w:val="0"/>
                <w:szCs w:val="24"/>
              </w:rPr>
              <w:t>及公共工程委員會等機關及學者、專家組成評鑑小組實施評鑑，其評鑑方式、項目及結論管考如下：</w:t>
            </w:r>
          </w:p>
          <w:p w:rsidR="009C57E1" w:rsidRPr="00532840" w:rsidRDefault="009C57E1" w:rsidP="008D6662">
            <w:pPr>
              <w:numPr>
                <w:ilvl w:val="0"/>
                <w:numId w:val="4"/>
              </w:numPr>
              <w:ind w:left="713" w:hanging="42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評鑑方式：以實地評鑑為原則，必要時得採書面評鑑。</w:t>
            </w:r>
          </w:p>
          <w:p w:rsidR="009C57E1" w:rsidRPr="00532840" w:rsidRDefault="009C57E1" w:rsidP="00C254D5">
            <w:pPr>
              <w:numPr>
                <w:ilvl w:val="0"/>
                <w:numId w:val="4"/>
              </w:numPr>
              <w:ind w:left="741" w:hanging="419"/>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評鑑項目：評鑑重點項目包含委外前後公共任務執</w:t>
            </w:r>
            <w:r w:rsidRPr="00532840">
              <w:rPr>
                <w:rFonts w:ascii="Times New Roman" w:eastAsia="標楷體" w:hAnsi="Times New Roman" w:cs="Times New Roman" w:hint="eastAsia"/>
                <w:snapToGrid w:val="0"/>
                <w:szCs w:val="24"/>
              </w:rPr>
              <w:lastRenderedPageBreak/>
              <w:t>行情形、人力配置消長、經費編列情形、委外效益、履約管理及內部控制制度等。</w:t>
            </w:r>
          </w:p>
          <w:p w:rsidR="009C57E1" w:rsidRPr="00532840" w:rsidRDefault="009C57E1" w:rsidP="00C254D5">
            <w:pPr>
              <w:numPr>
                <w:ilvl w:val="0"/>
                <w:numId w:val="4"/>
              </w:numPr>
              <w:ind w:left="755" w:hanging="420"/>
              <w:jc w:val="both"/>
              <w:rPr>
                <w:rFonts w:ascii="Times New Roman" w:eastAsia="標楷體" w:hAnsi="Times New Roman" w:cs="Times New Roman"/>
                <w:snapToGrid w:val="0"/>
                <w:szCs w:val="24"/>
              </w:rPr>
            </w:pPr>
            <w:r w:rsidRPr="00532840">
              <w:rPr>
                <w:rFonts w:ascii="Times New Roman" w:eastAsia="標楷體" w:hAnsi="Times New Roman" w:cs="Times New Roman" w:hint="eastAsia"/>
                <w:snapToGrid w:val="0"/>
                <w:szCs w:val="24"/>
              </w:rPr>
              <w:t>評鑑結論管考：由評鑑小組依評鑑結果進行會商，並提出評鑑結論，經本院核定後，送受評機關據以執行，受評機關應於每半年將執行情形送人事總處列管。</w:t>
            </w:r>
          </w:p>
          <w:p w:rsidR="009C57E1" w:rsidRPr="00532840" w:rsidRDefault="009C57E1" w:rsidP="008D6662">
            <w:pPr>
              <w:ind w:leftChars="320" w:left="768" w:firstLineChars="198" w:firstLine="475"/>
              <w:jc w:val="both"/>
              <w:rPr>
                <w:rFonts w:ascii="標楷體" w:eastAsia="標楷體" w:hAnsi="標楷體"/>
                <w:szCs w:val="24"/>
              </w:rPr>
            </w:pPr>
            <w:r w:rsidRPr="00532840">
              <w:rPr>
                <w:rFonts w:ascii="Times New Roman" w:eastAsia="標楷體" w:hAnsi="Times New Roman" w:cs="Times New Roman" w:hint="eastAsia"/>
                <w:snapToGrid w:val="0"/>
                <w:szCs w:val="24"/>
              </w:rPr>
              <w:t>各機關推動業務委外情形，列入機關考成及人事業務績效考核之重要參考。</w:t>
            </w:r>
          </w:p>
        </w:tc>
        <w:tc>
          <w:tcPr>
            <w:tcW w:w="2788" w:type="dxa"/>
          </w:tcPr>
          <w:p w:rsidR="009C57E1" w:rsidRPr="00532840" w:rsidRDefault="009C57E1" w:rsidP="00C254D5">
            <w:pPr>
              <w:jc w:val="both"/>
              <w:rPr>
                <w:rFonts w:ascii="標楷體" w:eastAsia="標楷體" w:hAnsi="標楷體"/>
                <w:szCs w:val="24"/>
              </w:rPr>
            </w:pPr>
            <w:r w:rsidRPr="00532840">
              <w:rPr>
                <w:rFonts w:ascii="標楷體" w:eastAsia="標楷體" w:hAnsi="標楷體" w:hint="eastAsia"/>
                <w:szCs w:val="24"/>
              </w:rPr>
              <w:lastRenderedPageBreak/>
              <w:t>原行政院研究發展考核委員會及經濟建設委員會業於</w:t>
            </w:r>
            <w:r w:rsidR="00C84E8F">
              <w:rPr>
                <w:rFonts w:ascii="標楷體" w:eastAsia="標楷體" w:hAnsi="標楷體" w:hint="eastAsia"/>
                <w:szCs w:val="24"/>
              </w:rPr>
              <w:t>一百零三</w:t>
            </w:r>
            <w:r w:rsidRPr="00532840">
              <w:rPr>
                <w:rFonts w:ascii="標楷體" w:eastAsia="標楷體" w:hAnsi="標楷體" w:hint="eastAsia"/>
                <w:szCs w:val="24"/>
              </w:rPr>
              <w:t>年</w:t>
            </w:r>
            <w:r w:rsidR="00C84E8F">
              <w:rPr>
                <w:rFonts w:ascii="標楷體" w:eastAsia="標楷體" w:hAnsi="標楷體" w:hint="eastAsia"/>
                <w:szCs w:val="24"/>
              </w:rPr>
              <w:t>一</w:t>
            </w:r>
            <w:r w:rsidRPr="00532840">
              <w:rPr>
                <w:rFonts w:ascii="標楷體" w:eastAsia="標楷體" w:hAnsi="標楷體" w:hint="eastAsia"/>
                <w:szCs w:val="24"/>
              </w:rPr>
              <w:t>月</w:t>
            </w:r>
            <w:r w:rsidR="00C84E8F">
              <w:rPr>
                <w:rFonts w:ascii="標楷體" w:eastAsia="標楷體" w:hAnsi="標楷體" w:hint="eastAsia"/>
                <w:szCs w:val="24"/>
              </w:rPr>
              <w:t>二十二</w:t>
            </w:r>
            <w:r w:rsidRPr="00532840">
              <w:rPr>
                <w:rFonts w:ascii="標楷體" w:eastAsia="標楷體" w:hAnsi="標楷體" w:hint="eastAsia"/>
                <w:szCs w:val="24"/>
              </w:rPr>
              <w:t>日合併改制為國家發展委員會，爰配合修正機關名稱。</w:t>
            </w:r>
          </w:p>
          <w:p w:rsidR="009C57E1" w:rsidRPr="00532840" w:rsidRDefault="009C57E1" w:rsidP="00C254D5">
            <w:pPr>
              <w:rPr>
                <w:rFonts w:ascii="標楷體" w:eastAsia="標楷體" w:hAnsi="標楷體"/>
                <w:szCs w:val="24"/>
              </w:rPr>
            </w:pPr>
          </w:p>
        </w:tc>
      </w:tr>
    </w:tbl>
    <w:p w:rsidR="002E0092" w:rsidRPr="002E0092" w:rsidRDefault="002E0092" w:rsidP="002E0092">
      <w:pPr>
        <w:spacing w:line="400" w:lineRule="exact"/>
        <w:jc w:val="center"/>
        <w:rPr>
          <w:rFonts w:ascii="標楷體" w:eastAsia="標楷體" w:hAnsi="標楷體"/>
          <w:sz w:val="36"/>
          <w:szCs w:val="36"/>
        </w:rPr>
      </w:pPr>
    </w:p>
    <w:sectPr w:rsidR="002E0092" w:rsidRPr="002E009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AE" w:rsidRDefault="009B2BAE" w:rsidP="00D7206C">
      <w:r>
        <w:separator/>
      </w:r>
    </w:p>
  </w:endnote>
  <w:endnote w:type="continuationSeparator" w:id="0">
    <w:p w:rsidR="009B2BAE" w:rsidRDefault="009B2BAE" w:rsidP="00D7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335143"/>
      <w:docPartObj>
        <w:docPartGallery w:val="Page Numbers (Bottom of Page)"/>
        <w:docPartUnique/>
      </w:docPartObj>
    </w:sdtPr>
    <w:sdtEndPr/>
    <w:sdtContent>
      <w:p w:rsidR="000C394E" w:rsidRDefault="000C394E">
        <w:pPr>
          <w:pStyle w:val="a9"/>
          <w:jc w:val="center"/>
        </w:pPr>
        <w:r>
          <w:fldChar w:fldCharType="begin"/>
        </w:r>
        <w:r>
          <w:instrText>PAGE   \* MERGEFORMAT</w:instrText>
        </w:r>
        <w:r>
          <w:fldChar w:fldCharType="separate"/>
        </w:r>
        <w:r w:rsidR="00A25EFC" w:rsidRPr="00A25EFC">
          <w:rPr>
            <w:noProof/>
            <w:lang w:val="zh-TW"/>
          </w:rPr>
          <w:t>1</w:t>
        </w:r>
        <w:r>
          <w:fldChar w:fldCharType="end"/>
        </w:r>
      </w:p>
    </w:sdtContent>
  </w:sdt>
  <w:p w:rsidR="000C394E" w:rsidRDefault="000C3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AE" w:rsidRDefault="009B2BAE" w:rsidP="00D7206C">
      <w:r>
        <w:separator/>
      </w:r>
    </w:p>
  </w:footnote>
  <w:footnote w:type="continuationSeparator" w:id="0">
    <w:p w:rsidR="009B2BAE" w:rsidRDefault="009B2BAE" w:rsidP="00D72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7F"/>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D61525"/>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24796111"/>
    <w:multiLevelType w:val="hybridMultilevel"/>
    <w:tmpl w:val="62B640E6"/>
    <w:lvl w:ilvl="0" w:tplc="F23467F8">
      <w:start w:val="1"/>
      <w:numFmt w:val="taiwaneseCountingThousand"/>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67363F92"/>
    <w:multiLevelType w:val="hybridMultilevel"/>
    <w:tmpl w:val="1D20DC52"/>
    <w:lvl w:ilvl="0" w:tplc="F23467F8">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76C2411A"/>
    <w:multiLevelType w:val="hybridMultilevel"/>
    <w:tmpl w:val="79FAEFC6"/>
    <w:lvl w:ilvl="0" w:tplc="4DD09D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59"/>
    <w:rsid w:val="00095223"/>
    <w:rsid w:val="000954B6"/>
    <w:rsid w:val="00096477"/>
    <w:rsid w:val="000C394E"/>
    <w:rsid w:val="000D0705"/>
    <w:rsid w:val="001B6187"/>
    <w:rsid w:val="001C784B"/>
    <w:rsid w:val="002242AE"/>
    <w:rsid w:val="00283FFA"/>
    <w:rsid w:val="002A2259"/>
    <w:rsid w:val="002C27AF"/>
    <w:rsid w:val="002C317D"/>
    <w:rsid w:val="002E0092"/>
    <w:rsid w:val="002E6680"/>
    <w:rsid w:val="002F6BD7"/>
    <w:rsid w:val="0032155A"/>
    <w:rsid w:val="00332160"/>
    <w:rsid w:val="00366710"/>
    <w:rsid w:val="003C2C0B"/>
    <w:rsid w:val="00416D31"/>
    <w:rsid w:val="00436681"/>
    <w:rsid w:val="004450D4"/>
    <w:rsid w:val="00461C26"/>
    <w:rsid w:val="00484B82"/>
    <w:rsid w:val="004C1659"/>
    <w:rsid w:val="004D141F"/>
    <w:rsid w:val="004D2F35"/>
    <w:rsid w:val="0050542E"/>
    <w:rsid w:val="00532840"/>
    <w:rsid w:val="00534E9B"/>
    <w:rsid w:val="00554AC5"/>
    <w:rsid w:val="005652F0"/>
    <w:rsid w:val="005F329B"/>
    <w:rsid w:val="00611C32"/>
    <w:rsid w:val="006270EC"/>
    <w:rsid w:val="00676324"/>
    <w:rsid w:val="00691571"/>
    <w:rsid w:val="006A308D"/>
    <w:rsid w:val="006D15D4"/>
    <w:rsid w:val="006E7486"/>
    <w:rsid w:val="007838CB"/>
    <w:rsid w:val="007A1E4F"/>
    <w:rsid w:val="007A4478"/>
    <w:rsid w:val="007A6ADB"/>
    <w:rsid w:val="007B6CE4"/>
    <w:rsid w:val="007C186C"/>
    <w:rsid w:val="007C267F"/>
    <w:rsid w:val="007D1044"/>
    <w:rsid w:val="007E1F32"/>
    <w:rsid w:val="007E5B61"/>
    <w:rsid w:val="007E5C5E"/>
    <w:rsid w:val="00803D6E"/>
    <w:rsid w:val="00805393"/>
    <w:rsid w:val="008557DE"/>
    <w:rsid w:val="00857FA9"/>
    <w:rsid w:val="0088103F"/>
    <w:rsid w:val="00891DEA"/>
    <w:rsid w:val="008D6662"/>
    <w:rsid w:val="0092534F"/>
    <w:rsid w:val="009275CA"/>
    <w:rsid w:val="00963FF5"/>
    <w:rsid w:val="009B0F14"/>
    <w:rsid w:val="009B2BAE"/>
    <w:rsid w:val="009C57E1"/>
    <w:rsid w:val="009C7615"/>
    <w:rsid w:val="00A21A98"/>
    <w:rsid w:val="00A25EFC"/>
    <w:rsid w:val="00A33AEE"/>
    <w:rsid w:val="00A409DB"/>
    <w:rsid w:val="00A51B79"/>
    <w:rsid w:val="00A5745F"/>
    <w:rsid w:val="00A63CCB"/>
    <w:rsid w:val="00AA48B6"/>
    <w:rsid w:val="00AD2931"/>
    <w:rsid w:val="00AE3BA5"/>
    <w:rsid w:val="00AF7C62"/>
    <w:rsid w:val="00B10F3A"/>
    <w:rsid w:val="00B11CE2"/>
    <w:rsid w:val="00B14A56"/>
    <w:rsid w:val="00B55533"/>
    <w:rsid w:val="00B61C85"/>
    <w:rsid w:val="00B63013"/>
    <w:rsid w:val="00B93794"/>
    <w:rsid w:val="00BA2363"/>
    <w:rsid w:val="00BF2537"/>
    <w:rsid w:val="00C00B71"/>
    <w:rsid w:val="00C11C86"/>
    <w:rsid w:val="00C13ABF"/>
    <w:rsid w:val="00C4128A"/>
    <w:rsid w:val="00C61813"/>
    <w:rsid w:val="00C63F9D"/>
    <w:rsid w:val="00C751F4"/>
    <w:rsid w:val="00C8070E"/>
    <w:rsid w:val="00C84E8F"/>
    <w:rsid w:val="00C87766"/>
    <w:rsid w:val="00CB24A2"/>
    <w:rsid w:val="00D02E34"/>
    <w:rsid w:val="00D20248"/>
    <w:rsid w:val="00D50A49"/>
    <w:rsid w:val="00D54FE5"/>
    <w:rsid w:val="00D63FE3"/>
    <w:rsid w:val="00D7206C"/>
    <w:rsid w:val="00D7531D"/>
    <w:rsid w:val="00DC29D4"/>
    <w:rsid w:val="00DE1E40"/>
    <w:rsid w:val="00E0378D"/>
    <w:rsid w:val="00E4403B"/>
    <w:rsid w:val="00E5083E"/>
    <w:rsid w:val="00E90526"/>
    <w:rsid w:val="00EA4A38"/>
    <w:rsid w:val="00EC2AEF"/>
    <w:rsid w:val="00EE65D2"/>
    <w:rsid w:val="00EE705D"/>
    <w:rsid w:val="00EF340D"/>
    <w:rsid w:val="00F2199B"/>
    <w:rsid w:val="00F241BD"/>
    <w:rsid w:val="00F4147A"/>
    <w:rsid w:val="00F63190"/>
    <w:rsid w:val="00F711E7"/>
    <w:rsid w:val="00F90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2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242AE"/>
    <w:pPr>
      <w:spacing w:line="400" w:lineRule="exact"/>
    </w:pPr>
    <w:rPr>
      <w:rFonts w:ascii="標楷體" w:eastAsia="標楷體" w:hAnsi="標楷體" w:cs="Times New Roman"/>
      <w:sz w:val="22"/>
    </w:rPr>
  </w:style>
  <w:style w:type="paragraph" w:customStyle="1" w:styleId="a5">
    <w:name w:val="（一）"/>
    <w:basedOn w:val="a"/>
    <w:link w:val="a6"/>
    <w:rsid w:val="002242AE"/>
    <w:pPr>
      <w:spacing w:line="400" w:lineRule="exact"/>
      <w:ind w:leftChars="192" w:left="879" w:hangingChars="190" w:hanging="418"/>
      <w:jc w:val="both"/>
    </w:pPr>
    <w:rPr>
      <w:rFonts w:ascii="標楷體" w:eastAsia="標楷體" w:hAnsi="標楷體" w:cs="Times New Roman"/>
      <w:snapToGrid w:val="0"/>
      <w:sz w:val="22"/>
    </w:rPr>
  </w:style>
  <w:style w:type="character" w:customStyle="1" w:styleId="a6">
    <w:name w:val="（一） 字元"/>
    <w:link w:val="a5"/>
    <w:rsid w:val="002242AE"/>
    <w:rPr>
      <w:rFonts w:ascii="標楷體" w:eastAsia="標楷體" w:hAnsi="標楷體" w:cs="Times New Roman"/>
      <w:snapToGrid w:val="0"/>
      <w:sz w:val="22"/>
    </w:rPr>
  </w:style>
  <w:style w:type="paragraph" w:styleId="a7">
    <w:name w:val="header"/>
    <w:basedOn w:val="a"/>
    <w:link w:val="a8"/>
    <w:uiPriority w:val="99"/>
    <w:unhideWhenUsed/>
    <w:rsid w:val="00D7206C"/>
    <w:pPr>
      <w:tabs>
        <w:tab w:val="center" w:pos="4153"/>
        <w:tab w:val="right" w:pos="8306"/>
      </w:tabs>
      <w:snapToGrid w:val="0"/>
    </w:pPr>
    <w:rPr>
      <w:sz w:val="20"/>
      <w:szCs w:val="20"/>
    </w:rPr>
  </w:style>
  <w:style w:type="character" w:customStyle="1" w:styleId="a8">
    <w:name w:val="頁首 字元"/>
    <w:basedOn w:val="a0"/>
    <w:link w:val="a7"/>
    <w:uiPriority w:val="99"/>
    <w:rsid w:val="00D7206C"/>
    <w:rPr>
      <w:sz w:val="20"/>
      <w:szCs w:val="20"/>
    </w:rPr>
  </w:style>
  <w:style w:type="paragraph" w:styleId="a9">
    <w:name w:val="footer"/>
    <w:basedOn w:val="a"/>
    <w:link w:val="aa"/>
    <w:uiPriority w:val="99"/>
    <w:unhideWhenUsed/>
    <w:rsid w:val="00D7206C"/>
    <w:pPr>
      <w:tabs>
        <w:tab w:val="center" w:pos="4153"/>
        <w:tab w:val="right" w:pos="8306"/>
      </w:tabs>
      <w:snapToGrid w:val="0"/>
    </w:pPr>
    <w:rPr>
      <w:sz w:val="20"/>
      <w:szCs w:val="20"/>
    </w:rPr>
  </w:style>
  <w:style w:type="character" w:customStyle="1" w:styleId="aa">
    <w:name w:val="頁尾 字元"/>
    <w:basedOn w:val="a0"/>
    <w:link w:val="a9"/>
    <w:uiPriority w:val="99"/>
    <w:rsid w:val="00D7206C"/>
    <w:rPr>
      <w:sz w:val="20"/>
      <w:szCs w:val="20"/>
    </w:rPr>
  </w:style>
  <w:style w:type="paragraph" w:styleId="ab">
    <w:name w:val="List Paragraph"/>
    <w:basedOn w:val="a"/>
    <w:uiPriority w:val="34"/>
    <w:qFormat/>
    <w:rsid w:val="00B55533"/>
    <w:pPr>
      <w:ind w:leftChars="200" w:left="480"/>
    </w:pPr>
  </w:style>
  <w:style w:type="paragraph" w:styleId="ac">
    <w:name w:val="Balloon Text"/>
    <w:basedOn w:val="a"/>
    <w:link w:val="ad"/>
    <w:uiPriority w:val="99"/>
    <w:semiHidden/>
    <w:unhideWhenUsed/>
    <w:rsid w:val="00C13AB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13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瞿漢強</dc:creator>
  <cp:lastModifiedBy>張雨龍</cp:lastModifiedBy>
  <cp:revision>7</cp:revision>
  <cp:lastPrinted>2015-12-15T06:07:00Z</cp:lastPrinted>
  <dcterms:created xsi:type="dcterms:W3CDTF">2015-12-15T06:11:00Z</dcterms:created>
  <dcterms:modified xsi:type="dcterms:W3CDTF">2015-12-21T03:13:00Z</dcterms:modified>
</cp:coreProperties>
</file>